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D5" w:rsidRPr="00D10949" w:rsidRDefault="00AA3D61" w:rsidP="00FB10D5">
      <w:pPr>
        <w:jc w:val="center"/>
        <w:rPr>
          <w:b/>
        </w:rPr>
      </w:pPr>
      <w:r>
        <w:rPr>
          <w:b/>
        </w:rPr>
        <w:t>Prairie Reconstruction</w:t>
      </w:r>
      <w:r w:rsidR="00FB10D5" w:rsidRPr="00D10949">
        <w:rPr>
          <w:b/>
        </w:rPr>
        <w:t xml:space="preserve">, </w:t>
      </w:r>
      <w:r w:rsidR="003E46AA">
        <w:rPr>
          <w:b/>
        </w:rPr>
        <w:t xml:space="preserve">Habitat </w:t>
      </w:r>
      <w:r w:rsidR="00FB10D5" w:rsidRPr="00D10949">
        <w:rPr>
          <w:b/>
        </w:rPr>
        <w:t>Management and Monitoring within the Devils Lake Wetland Management District, North Dakota – 200</w:t>
      </w:r>
      <w:r w:rsidR="00115203" w:rsidRPr="00D10949">
        <w:rPr>
          <w:b/>
        </w:rPr>
        <w:t>4</w:t>
      </w:r>
      <w:r w:rsidR="00FB10D5" w:rsidRPr="00D10949">
        <w:rPr>
          <w:b/>
        </w:rPr>
        <w:t xml:space="preserve"> to Present</w:t>
      </w:r>
    </w:p>
    <w:p w:rsidR="00FB10D5" w:rsidRDefault="00FB10D5" w:rsidP="00FB10D5">
      <w:pPr>
        <w:jc w:val="center"/>
      </w:pPr>
      <w:r>
        <w:t>A White Paper</w:t>
      </w:r>
      <w:r w:rsidR="00301BB6">
        <w:t xml:space="preserve"> and Slide Presentation – </w:t>
      </w:r>
      <w:r w:rsidR="00AA3D61">
        <w:t xml:space="preserve">February </w:t>
      </w:r>
      <w:r w:rsidR="00301BB6">
        <w:t>3, 2017</w:t>
      </w:r>
    </w:p>
    <w:p w:rsidR="00FB10D5" w:rsidRDefault="00FB10D5" w:rsidP="00FB10D5">
      <w:pPr>
        <w:pStyle w:val="NoSpacing"/>
        <w:jc w:val="center"/>
      </w:pPr>
      <w:r>
        <w:t>Mark R. Fisher</w:t>
      </w:r>
    </w:p>
    <w:p w:rsidR="00FB10D5" w:rsidRDefault="00FB10D5" w:rsidP="00FB10D5">
      <w:pPr>
        <w:pStyle w:val="NoSpacing"/>
        <w:jc w:val="center"/>
      </w:pPr>
      <w:r>
        <w:t xml:space="preserve">District Wildlife Biologist </w:t>
      </w:r>
      <w:r w:rsidR="008E4F84">
        <w:t>–</w:t>
      </w:r>
      <w:r>
        <w:t xml:space="preserve"> D</w:t>
      </w:r>
      <w:r w:rsidR="00A864F1">
        <w:t xml:space="preserve">evils </w:t>
      </w:r>
      <w:r>
        <w:t>L</w:t>
      </w:r>
      <w:r w:rsidR="00A864F1">
        <w:t xml:space="preserve">ake </w:t>
      </w:r>
      <w:r>
        <w:t>W</w:t>
      </w:r>
      <w:r w:rsidR="00A864F1">
        <w:t xml:space="preserve">etland </w:t>
      </w:r>
      <w:r>
        <w:t>M</w:t>
      </w:r>
      <w:r w:rsidR="00A864F1">
        <w:t xml:space="preserve">anagement </w:t>
      </w:r>
      <w:r>
        <w:t>D</w:t>
      </w:r>
      <w:r w:rsidR="00A864F1">
        <w:t>istrict</w:t>
      </w:r>
    </w:p>
    <w:p w:rsidR="008E4F84" w:rsidRDefault="008E4F84" w:rsidP="00FB10D5">
      <w:pPr>
        <w:pStyle w:val="NoSpacing"/>
        <w:jc w:val="center"/>
      </w:pPr>
    </w:p>
    <w:p w:rsidR="000814BC" w:rsidRDefault="00FB10D5" w:rsidP="00FB10D5">
      <w:r>
        <w:t xml:space="preserve">Purpose Statement - Monitoring upland habitats </w:t>
      </w:r>
      <w:r w:rsidR="00301BB6">
        <w:t>r</w:t>
      </w:r>
      <w:r>
        <w:t>estored with multi-species mixtures of native forbs and grasses</w:t>
      </w:r>
      <w:r w:rsidR="003216A0">
        <w:t xml:space="preserve"> (prairie reconstruction - PR)</w:t>
      </w:r>
      <w:r>
        <w:t xml:space="preserve"> and their response to specific management treatments has been ongoing within the DLWMD for many years</w:t>
      </w:r>
      <w:r w:rsidR="00643BAC">
        <w:t xml:space="preserve"> (Table 1)</w:t>
      </w:r>
      <w:r>
        <w:t>.</w:t>
      </w:r>
      <w:r w:rsidR="00156BC0">
        <w:t xml:space="preserve"> Th</w:t>
      </w:r>
      <w:r w:rsidR="003216A0">
        <w:t>e PR</w:t>
      </w:r>
      <w:r w:rsidR="00156BC0">
        <w:t xml:space="preserve"> restoration technique is new (circa. 200</w:t>
      </w:r>
      <w:r w:rsidR="00643BAC">
        <w:t>5</w:t>
      </w:r>
      <w:r w:rsidR="00156BC0">
        <w:t>) for the Devils Lake WMD</w:t>
      </w:r>
      <w:r w:rsidR="00CA4DCD">
        <w:t xml:space="preserve"> and</w:t>
      </w:r>
      <w:r w:rsidR="008E4F84">
        <w:t xml:space="preserve"> </w:t>
      </w:r>
      <w:r w:rsidR="003B31D3">
        <w:t>likewise for</w:t>
      </w:r>
      <w:r w:rsidR="008E4F84">
        <w:t xml:space="preserve"> the mixed grassed physiographic region</w:t>
      </w:r>
      <w:r w:rsidR="00A67904">
        <w:t xml:space="preserve">. </w:t>
      </w:r>
      <w:r w:rsidR="00CE21B1">
        <w:t>Despite the enhanced waterfowl productivity provided by dense nesting cover (DNC) used from the 1980’s to present, t</w:t>
      </w:r>
      <w:r w:rsidR="00156BC0">
        <w:t xml:space="preserve">he use of </w:t>
      </w:r>
      <w:r w:rsidR="001131A8">
        <w:t>DNC</w:t>
      </w:r>
      <w:r w:rsidR="00156BC0">
        <w:t xml:space="preserve"> </w:t>
      </w:r>
      <w:r w:rsidR="003216A0">
        <w:t>has lost favor due to its non-native species composition, low species diversity (4</w:t>
      </w:r>
      <w:r w:rsidR="00F406B1">
        <w:t xml:space="preserve"> spp.</w:t>
      </w:r>
      <w:r w:rsidR="003216A0">
        <w:t>), 10-15 year lifespan</w:t>
      </w:r>
      <w:r w:rsidR="0082233A">
        <w:t>,</w:t>
      </w:r>
      <w:r w:rsidR="00F406B1">
        <w:t xml:space="preserve"> homogenous structure,</w:t>
      </w:r>
      <w:r w:rsidR="0082233A">
        <w:t xml:space="preserve"> and eventual lack of defense against noxious weeds and invasive species.</w:t>
      </w:r>
      <w:r w:rsidR="00156BC0">
        <w:t xml:space="preserve"> </w:t>
      </w:r>
      <w:r w:rsidR="000814BC">
        <w:t>Theoretically, PR restorations should remain diverse, comprise native species, provide structural heterogeneity, are more resilient</w:t>
      </w:r>
      <w:r w:rsidR="003B31D3">
        <w:t xml:space="preserve"> in the face of wild climatic oscillations and noxious weed encroachment</w:t>
      </w:r>
      <w:r w:rsidR="000814BC">
        <w:t>, and provide</w:t>
      </w:r>
      <w:r w:rsidR="003B31D3">
        <w:t xml:space="preserve"> season long</w:t>
      </w:r>
      <w:r w:rsidR="000814BC">
        <w:t xml:space="preserve"> nectar sources from June through September for pollinators. Nearly all new</w:t>
      </w:r>
      <w:r w:rsidR="00643BAC">
        <w:t xml:space="preserve"> DLWMD upland</w:t>
      </w:r>
      <w:r w:rsidR="000814BC">
        <w:t xml:space="preserve"> restoration efforts include PR techniques, with only sites with</w:t>
      </w:r>
      <w:r w:rsidR="00F406B1">
        <w:t>in</w:t>
      </w:r>
      <w:r w:rsidR="000814BC">
        <w:t xml:space="preserve"> saline soils receiving DNC </w:t>
      </w:r>
      <w:r w:rsidR="001F723E">
        <w:t xml:space="preserve">restoration </w:t>
      </w:r>
      <w:r w:rsidR="000814BC">
        <w:t>due</w:t>
      </w:r>
      <w:r w:rsidR="001F723E">
        <w:t xml:space="preserve"> to the propensity of this mix to persist </w:t>
      </w:r>
      <w:r w:rsidR="00650C58">
        <w:t xml:space="preserve">at </w:t>
      </w:r>
      <w:r w:rsidR="001F723E">
        <w:t>sal</w:t>
      </w:r>
      <w:r w:rsidR="00650C58">
        <w:t>ine sites.</w:t>
      </w:r>
      <w:r w:rsidR="001F723E">
        <w:t xml:space="preserve"> </w:t>
      </w:r>
    </w:p>
    <w:p w:rsidR="00CA4DCD" w:rsidRDefault="00086A17" w:rsidP="00FB10D5">
      <w:r>
        <w:t xml:space="preserve">Monitoring Goals - </w:t>
      </w:r>
      <w:r w:rsidR="00FB10D5">
        <w:t>Our primary</w:t>
      </w:r>
      <w:r w:rsidR="00CE21B1">
        <w:t xml:space="preserve"> monitoring</w:t>
      </w:r>
      <w:r w:rsidR="00FB10D5">
        <w:t xml:space="preserve"> goals</w:t>
      </w:r>
      <w:r w:rsidR="00CE21B1">
        <w:t xml:space="preserve"> for PR mixtures</w:t>
      </w:r>
      <w:r w:rsidR="00FB10D5">
        <w:t xml:space="preserve"> are to measure </w:t>
      </w:r>
      <w:r w:rsidR="00CA4DCD">
        <w:t xml:space="preserve">species </w:t>
      </w:r>
      <w:r w:rsidR="00FB10D5">
        <w:t xml:space="preserve">resilience of these </w:t>
      </w:r>
      <w:r w:rsidR="003216A0">
        <w:t xml:space="preserve">new PR </w:t>
      </w:r>
      <w:r w:rsidR="00FB10D5">
        <w:t>habitats and what effects, positive or negative, can be gleaned utilizing different management treatments.</w:t>
      </w:r>
      <w:r w:rsidR="00FB546B">
        <w:t xml:space="preserve"> </w:t>
      </w:r>
      <w:r w:rsidR="00FB10D5">
        <w:t>Our primary monitoring questions are, "What happens both spatially and temporally to habitat structure, species composition, invasive species encroachment, and noxious weed densities while utilizing management regimes of prescribed fire, grazing, haying and rest</w:t>
      </w:r>
      <w:r w:rsidR="00650C58">
        <w:t>”?</w:t>
      </w:r>
      <w:r w:rsidR="00CE21B1">
        <w:t xml:space="preserve"> </w:t>
      </w:r>
      <w:r w:rsidR="00FB10D5">
        <w:t>Our vision is to utilize diverse upland habitat restoration technique</w:t>
      </w:r>
      <w:r w:rsidR="00EE287B">
        <w:t>s</w:t>
      </w:r>
      <w:r w:rsidR="00FB10D5">
        <w:t xml:space="preserve"> </w:t>
      </w:r>
      <w:bookmarkStart w:id="0" w:name="_GoBack"/>
      <w:bookmarkEnd w:id="0"/>
      <w:r w:rsidR="001131A8">
        <w:t>while simultaneously</w:t>
      </w:r>
      <w:r w:rsidR="00FB10D5">
        <w:t xml:space="preserve"> improving our knowledge </w:t>
      </w:r>
      <w:r w:rsidR="003216A0">
        <w:t>of management</w:t>
      </w:r>
      <w:r w:rsidR="00FB10D5">
        <w:t xml:space="preserve"> methods </w:t>
      </w:r>
      <w:r w:rsidR="003216A0">
        <w:t xml:space="preserve">which </w:t>
      </w:r>
      <w:r w:rsidR="00FB10D5">
        <w:t xml:space="preserve">promote landscape biological integrity, diversity and environmental health. </w:t>
      </w:r>
      <w:r w:rsidR="00EE287B">
        <w:t>W</w:t>
      </w:r>
      <w:r w:rsidR="00FB546B">
        <w:t>e are on the right path</w:t>
      </w:r>
      <w:r w:rsidR="00EE287B">
        <w:t xml:space="preserve"> but</w:t>
      </w:r>
      <w:r w:rsidR="00FB546B">
        <w:t xml:space="preserve"> </w:t>
      </w:r>
      <w:r w:rsidR="00EE287B">
        <w:t xml:space="preserve">need more time </w:t>
      </w:r>
      <w:r w:rsidR="00FB546B">
        <w:t>to claim success</w:t>
      </w:r>
      <w:r w:rsidR="00EE287B">
        <w:t>; we have a few stands now arriving at</w:t>
      </w:r>
      <w:r w:rsidR="00FB546B">
        <w:t xml:space="preserve"> </w:t>
      </w:r>
      <w:r w:rsidR="00A54580">
        <w:t>1</w:t>
      </w:r>
      <w:r w:rsidR="00C1664B">
        <w:t>2</w:t>
      </w:r>
      <w:r w:rsidR="00A54580">
        <w:t xml:space="preserve"> year</w:t>
      </w:r>
      <w:r w:rsidR="00EE287B">
        <w:t>s</w:t>
      </w:r>
      <w:r w:rsidR="00A54580">
        <w:t xml:space="preserve"> post restoration</w:t>
      </w:r>
      <w:r w:rsidR="00EE287B">
        <w:t xml:space="preserve"> and monitoring and results are promising.</w:t>
      </w:r>
      <w:r w:rsidR="00A54580">
        <w:t xml:space="preserve"> We understand that 1</w:t>
      </w:r>
      <w:r w:rsidR="00C1664B">
        <w:t>2</w:t>
      </w:r>
      <w:r w:rsidR="00A54580">
        <w:t xml:space="preserve"> years may not be</w:t>
      </w:r>
      <w:r w:rsidR="00CA4DCD">
        <w:t xml:space="preserve"> “temporally</w:t>
      </w:r>
      <w:r w:rsidR="00A54580">
        <w:t xml:space="preserve"> sufficient</w:t>
      </w:r>
      <w:r w:rsidR="00CA4DCD">
        <w:t>”</w:t>
      </w:r>
      <w:r w:rsidR="00A54580">
        <w:t xml:space="preserve">, but it is a starting point where we feel we can </w:t>
      </w:r>
      <w:r w:rsidR="00B5643B">
        <w:t>begin to make</w:t>
      </w:r>
      <w:r w:rsidR="00A54580">
        <w:t xml:space="preserve"> solid claims </w:t>
      </w:r>
      <w:r w:rsidR="00B5643B">
        <w:t>regarding the utility of this</w:t>
      </w:r>
      <w:r w:rsidR="00A54580">
        <w:t xml:space="preserve"> restoration technique</w:t>
      </w:r>
      <w:r w:rsidR="00EF6A2D">
        <w:t xml:space="preserve"> with properly timed management</w:t>
      </w:r>
      <w:r w:rsidR="00A54580">
        <w:t>.</w:t>
      </w:r>
      <w:r w:rsidR="001131A8">
        <w:t xml:space="preserve"> </w:t>
      </w:r>
      <w:r w:rsidR="00CE21B1">
        <w:t xml:space="preserve">Lastly, wildlife use within PR habitat types should be the ultimate measurement for continued implementation of this new upland restoration technique; several studies (waterfowl nesting, grassland songbird use) have been conducted </w:t>
      </w:r>
      <w:r w:rsidR="00CA4DCD">
        <w:t xml:space="preserve">in the DLWMD </w:t>
      </w:r>
      <w:r w:rsidR="00CE21B1">
        <w:t>and results have shown  these habitats can maintain wildlife populations while simultaneously providing landscape</w:t>
      </w:r>
      <w:r w:rsidR="00CA4DCD">
        <w:t xml:space="preserve"> plant</w:t>
      </w:r>
      <w:r w:rsidR="00CE21B1">
        <w:t xml:space="preserve"> species richness</w:t>
      </w:r>
      <w:r w:rsidR="002D4ADB">
        <w:t xml:space="preserve"> and</w:t>
      </w:r>
      <w:r w:rsidR="001277C8">
        <w:t xml:space="preserve"> other</w:t>
      </w:r>
      <w:r w:rsidR="002D4ADB">
        <w:t xml:space="preserve"> </w:t>
      </w:r>
      <w:r w:rsidR="001277C8">
        <w:t xml:space="preserve">complex </w:t>
      </w:r>
      <w:r w:rsidR="002D4ADB">
        <w:t>grassland eco</w:t>
      </w:r>
      <w:r w:rsidR="001277C8">
        <w:t>system</w:t>
      </w:r>
      <w:r w:rsidR="002D4ADB">
        <w:t xml:space="preserve"> </w:t>
      </w:r>
      <w:r w:rsidR="001277C8">
        <w:t>services</w:t>
      </w:r>
      <w:r w:rsidR="00181663">
        <w:t>.</w:t>
      </w:r>
      <w:r w:rsidR="00EF6A2D">
        <w:t xml:space="preserve"> More information needs to be accumulated for pollinators, but our </w:t>
      </w:r>
      <w:r w:rsidR="00F406B1">
        <w:t>“</w:t>
      </w:r>
      <w:r w:rsidR="00EF6A2D">
        <w:t>experience based</w:t>
      </w:r>
      <w:r w:rsidR="00F406B1">
        <w:t>”</w:t>
      </w:r>
      <w:r w:rsidR="00EF6A2D">
        <w:t xml:space="preserve"> models indicate success.</w:t>
      </w:r>
      <w:r w:rsidR="00CE21B1">
        <w:t xml:space="preserve"> </w:t>
      </w:r>
    </w:p>
    <w:p w:rsidR="00CE21B1" w:rsidRDefault="00CA4DCD" w:rsidP="00FB10D5">
      <w:r>
        <w:t xml:space="preserve">Monitoring the PR stands </w:t>
      </w:r>
      <w:r w:rsidR="001277C8">
        <w:t>is</w:t>
      </w:r>
      <w:r>
        <w:t xml:space="preserve"> another matter altogether. There are many habitat monitoring techniques available, but proper vetting</w:t>
      </w:r>
      <w:r w:rsidR="001277C8">
        <w:t>, analysis</w:t>
      </w:r>
      <w:r w:rsidR="00990A0B">
        <w:t xml:space="preserve"> and management of data</w:t>
      </w:r>
      <w:r w:rsidR="001277C8">
        <w:t xml:space="preserve"> and understanding </w:t>
      </w:r>
      <w:r>
        <w:t xml:space="preserve">each </w:t>
      </w:r>
      <w:r w:rsidR="00075DE4">
        <w:t xml:space="preserve">monitoring technique </w:t>
      </w:r>
      <w:r>
        <w:t xml:space="preserve">is essential to provide </w:t>
      </w:r>
      <w:r w:rsidR="00075DE4">
        <w:t>useful</w:t>
      </w:r>
      <w:r>
        <w:t xml:space="preserve"> data to managers with whom the ultimate decisions lay regarding </w:t>
      </w:r>
      <w:r w:rsidR="00075DE4">
        <w:t xml:space="preserve">implementation of </w:t>
      </w:r>
      <w:r>
        <w:t xml:space="preserve">management techniques. An adaptive management project has been </w:t>
      </w:r>
      <w:r>
        <w:lastRenderedPageBreak/>
        <w:t>proposed by Region 3 biologists</w:t>
      </w:r>
      <w:r w:rsidR="00F406B1">
        <w:t xml:space="preserve"> (of which the DLWMD is a participant)</w:t>
      </w:r>
      <w:r>
        <w:t>, but this is still in its infancy and may take many years of data collection to be useful. Therefore, the purpose of the following</w:t>
      </w:r>
      <w:r w:rsidR="00F406B1">
        <w:t xml:space="preserve"> information and</w:t>
      </w:r>
      <w:r>
        <w:t xml:space="preserve"> slideshow provides information currently used by the DLWMD to begin a series of pilot studies designed to monitor prescribed management a</w:t>
      </w:r>
      <w:r w:rsidR="007E40B9">
        <w:t>nd landscape outcomes.</w:t>
      </w:r>
      <w:r w:rsidR="00075DE4">
        <w:t xml:space="preserve"> Many of the </w:t>
      </w:r>
      <w:r w:rsidR="00EF6A2D">
        <w:t xml:space="preserve">current </w:t>
      </w:r>
      <w:r w:rsidR="00075DE4">
        <w:t xml:space="preserve">results </w:t>
      </w:r>
      <w:r w:rsidR="00EF6A2D">
        <w:t xml:space="preserve">have </w:t>
      </w:r>
      <w:r w:rsidR="00F406B1">
        <w:t>triggered current</w:t>
      </w:r>
      <w:r w:rsidR="00EF6A2D">
        <w:t xml:space="preserve"> </w:t>
      </w:r>
      <w:r w:rsidR="00075DE4">
        <w:t>on the ground management decisions</w:t>
      </w:r>
      <w:r w:rsidR="00EF6A2D">
        <w:t>, and further refinements</w:t>
      </w:r>
      <w:r w:rsidR="001277C8">
        <w:t xml:space="preserve"> and adaptability </w:t>
      </w:r>
      <w:r w:rsidR="00EF6A2D">
        <w:t>of existing techniques will occur as we progress into the future.</w:t>
      </w:r>
      <w:r w:rsidR="007E40B9">
        <w:t xml:space="preserve"> </w:t>
      </w:r>
      <w:r>
        <w:t xml:space="preserve"> </w:t>
      </w:r>
    </w:p>
    <w:p w:rsidR="00FB10D5" w:rsidRDefault="00955EBD" w:rsidP="00FB10D5">
      <w:proofErr w:type="gramStart"/>
      <w:r>
        <w:t>Table 1.</w:t>
      </w:r>
      <w:proofErr w:type="gramEnd"/>
      <w:r>
        <w:t xml:space="preserve">  Native restoration</w:t>
      </w:r>
      <w:r w:rsidR="00E7628F">
        <w:t xml:space="preserve"> priority</w:t>
      </w:r>
      <w:r>
        <w:t xml:space="preserve"> sites in the DLWMD selected for management and monitoring beginning in 2005 to the present day.  </w:t>
      </w:r>
      <w:r w:rsidR="001131A8">
        <w:t>Our goal is to provide predictability with respect to</w:t>
      </w:r>
      <w:r w:rsidR="00AD77F8">
        <w:t xml:space="preserve"> </w:t>
      </w:r>
      <w:r w:rsidR="00A145A0">
        <w:t xml:space="preserve">species composition and habitat structure in </w:t>
      </w:r>
      <w:r w:rsidR="00AD77F8">
        <w:t>response to management</w:t>
      </w:r>
      <w:r w:rsidR="001131A8">
        <w:t xml:space="preserve"> treatments.</w:t>
      </w:r>
      <w:r>
        <w:t xml:space="preserve"> </w:t>
      </w:r>
      <w:r w:rsidR="00FB10D5" w:rsidRPr="00FB10D5">
        <w:rPr>
          <w:noProof/>
        </w:rPr>
        <w:drawing>
          <wp:inline distT="0" distB="0" distL="0" distR="0" wp14:anchorId="0C0763C5" wp14:editId="128B445A">
            <wp:extent cx="5331230" cy="2255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5281" cy="2261464"/>
                    </a:xfrm>
                    <a:prstGeom prst="rect">
                      <a:avLst/>
                    </a:prstGeom>
                    <a:noFill/>
                    <a:ln>
                      <a:noFill/>
                    </a:ln>
                  </pic:spPr>
                </pic:pic>
              </a:graphicData>
            </a:graphic>
          </wp:inline>
        </w:drawing>
      </w:r>
      <w:r w:rsidR="00FB10D5">
        <w:tab/>
      </w:r>
      <w:r w:rsidR="00FB10D5">
        <w:tab/>
      </w:r>
    </w:p>
    <w:p w:rsidR="003216A0" w:rsidRPr="00643BAC" w:rsidRDefault="003216A0" w:rsidP="00FB10D5">
      <w:pPr>
        <w:rPr>
          <w:b/>
          <w:u w:val="single"/>
        </w:rPr>
      </w:pPr>
      <w:r w:rsidRPr="00643BAC">
        <w:rPr>
          <w:b/>
          <w:u w:val="single"/>
        </w:rPr>
        <w:t>Results to Date</w:t>
      </w:r>
      <w:r w:rsidR="00230C0C" w:rsidRPr="00643BAC">
        <w:rPr>
          <w:b/>
          <w:u w:val="single"/>
        </w:rPr>
        <w:t xml:space="preserve"> – What we’re learning</w:t>
      </w:r>
      <w:r w:rsidR="00086A17">
        <w:rPr>
          <w:b/>
          <w:u w:val="single"/>
        </w:rPr>
        <w:t xml:space="preserve"> </w:t>
      </w:r>
    </w:p>
    <w:p w:rsidR="008E4F84" w:rsidRDefault="003216A0" w:rsidP="00FB10D5">
      <w:r>
        <w:t xml:space="preserve">The following narrative and graphic representations </w:t>
      </w:r>
      <w:r w:rsidR="008E4F84">
        <w:t>are intended to inform</w:t>
      </w:r>
      <w:r>
        <w:t xml:space="preserve"> what is working, what needs improvement, and what has failed. </w:t>
      </w:r>
      <w:r w:rsidR="008E4F84">
        <w:t>It is not the purpose of this paper of describing details of</w:t>
      </w:r>
      <w:r>
        <w:t xml:space="preserve"> habitat implementation, management, and monitoring protocols used, </w:t>
      </w:r>
      <w:r w:rsidR="008E4F84">
        <w:t>the reader must assume all methods have been vetted and are acceptable to answer our questions outlined within our purpose statement. Details of each will be provided upon request.</w:t>
      </w:r>
    </w:p>
    <w:p w:rsidR="00FB546B" w:rsidRPr="00FB546B" w:rsidRDefault="008E4F84" w:rsidP="008E4F84">
      <w:pPr>
        <w:pStyle w:val="ListParagraph"/>
        <w:numPr>
          <w:ilvl w:val="0"/>
          <w:numId w:val="1"/>
        </w:numPr>
        <w:rPr>
          <w:u w:val="single"/>
        </w:rPr>
      </w:pPr>
      <w:r>
        <w:t xml:space="preserve">Issue – </w:t>
      </w:r>
      <w:r w:rsidRPr="00AD77F8">
        <w:rPr>
          <w:u w:val="single"/>
        </w:rPr>
        <w:t>Loss of cool season natives</w:t>
      </w:r>
      <w:r w:rsidR="0067538A" w:rsidRPr="00AD77F8">
        <w:rPr>
          <w:u w:val="single"/>
        </w:rPr>
        <w:t xml:space="preserve"> and forbs</w:t>
      </w:r>
      <w:r w:rsidR="006D01AA" w:rsidRPr="00AD77F8">
        <w:rPr>
          <w:u w:val="single"/>
        </w:rPr>
        <w:t xml:space="preserve"> </w:t>
      </w:r>
      <w:r w:rsidR="006D01AA" w:rsidRPr="00FB546B">
        <w:rPr>
          <w:u w:val="single"/>
        </w:rPr>
        <w:t>and increase</w:t>
      </w:r>
      <w:r w:rsidR="00B5643B">
        <w:rPr>
          <w:u w:val="single"/>
        </w:rPr>
        <w:t>d</w:t>
      </w:r>
      <w:r w:rsidR="006D01AA" w:rsidRPr="00FB546B">
        <w:rPr>
          <w:u w:val="single"/>
        </w:rPr>
        <w:t xml:space="preserve"> warm season native grasses</w:t>
      </w:r>
      <w:r w:rsidR="00155035" w:rsidRPr="00FB546B">
        <w:rPr>
          <w:u w:val="single"/>
        </w:rPr>
        <w:t xml:space="preserve"> and Kentucky bluegrass</w:t>
      </w:r>
      <w:r w:rsidR="00AD77F8" w:rsidRPr="00FB546B">
        <w:rPr>
          <w:u w:val="single"/>
        </w:rPr>
        <w:t xml:space="preserve"> and smooth brome grass</w:t>
      </w:r>
      <w:r w:rsidRPr="00FB546B">
        <w:rPr>
          <w:u w:val="single"/>
        </w:rPr>
        <w:t xml:space="preserve"> in PR mixes.</w:t>
      </w:r>
    </w:p>
    <w:p w:rsidR="008E4F84" w:rsidRDefault="008E4F84" w:rsidP="00FB546B">
      <w:pPr>
        <w:ind w:left="360"/>
      </w:pPr>
      <w:r w:rsidRPr="00FB546B">
        <w:rPr>
          <w:u w:val="single"/>
        </w:rPr>
        <w:t>Site</w:t>
      </w:r>
      <w:r w:rsidR="00487D93">
        <w:rPr>
          <w:u w:val="single"/>
        </w:rPr>
        <w:t>s</w:t>
      </w:r>
      <w:r>
        <w:t xml:space="preserve"> – </w:t>
      </w:r>
      <w:r w:rsidR="0067538A">
        <w:t>Vollrath</w:t>
      </w:r>
      <w:r>
        <w:t xml:space="preserve"> </w:t>
      </w:r>
      <w:r w:rsidR="00B5643B">
        <w:t xml:space="preserve">and Register </w:t>
      </w:r>
      <w:r w:rsidR="00FC0501">
        <w:t>WPA’s</w:t>
      </w:r>
      <w:r w:rsidR="00643BAC">
        <w:t xml:space="preserve"> restored in 2009 and 2005, respectively.</w:t>
      </w:r>
      <w:r w:rsidR="00155035">
        <w:t xml:space="preserve"> </w:t>
      </w:r>
      <w:r>
        <w:t xml:space="preserve"> </w:t>
      </w:r>
    </w:p>
    <w:p w:rsidR="008E4F84" w:rsidRDefault="008E4F84" w:rsidP="00FB10D5">
      <w:r>
        <w:t>A</w:t>
      </w:r>
      <w:r w:rsidR="00B5643B">
        <w:t xml:space="preserve">n observed </w:t>
      </w:r>
      <w:r w:rsidRPr="008E4F84">
        <w:t xml:space="preserve">trend </w:t>
      </w:r>
      <w:r>
        <w:t>i</w:t>
      </w:r>
      <w:r w:rsidRPr="008E4F84">
        <w:t xml:space="preserve">s </w:t>
      </w:r>
      <w:r>
        <w:t xml:space="preserve">a temporal and spatial decrease of </w:t>
      </w:r>
      <w:r w:rsidRPr="008E4F84">
        <w:t>cool season</w:t>
      </w:r>
      <w:r>
        <w:t xml:space="preserve"> native</w:t>
      </w:r>
      <w:r w:rsidRPr="008E4F84">
        <w:t xml:space="preserve"> grass</w:t>
      </w:r>
      <w:r>
        <w:t>es</w:t>
      </w:r>
      <w:r w:rsidR="0067538A">
        <w:t xml:space="preserve"> and forbs</w:t>
      </w:r>
      <w:r>
        <w:t xml:space="preserve"> at many PR sites.</w:t>
      </w:r>
      <w:r w:rsidRPr="008E4F84">
        <w:t xml:space="preserve"> This is somewhat concerning since the cool season grass</w:t>
      </w:r>
      <w:r w:rsidR="0067538A">
        <w:t xml:space="preserve"> and forb</w:t>
      </w:r>
      <w:r w:rsidRPr="008E4F84">
        <w:t xml:space="preserve"> component tends to be a driver with respects towards waterfowl productivity in the DLWMD.</w:t>
      </w:r>
      <w:r w:rsidR="00B5643B">
        <w:t xml:space="preserve"> Also, the financial resources dedicated to these PR mixtures can be high, and the long term loss or poor resilience of some species may dissuade management of </w:t>
      </w:r>
      <w:r w:rsidR="00643BAC">
        <w:t xml:space="preserve">using PR techniques in </w:t>
      </w:r>
      <w:r w:rsidR="00B5643B">
        <w:t xml:space="preserve">future </w:t>
      </w:r>
      <w:r w:rsidR="00643BAC">
        <w:t xml:space="preserve">upland </w:t>
      </w:r>
      <w:r w:rsidR="00B5643B">
        <w:t>restoration</w:t>
      </w:r>
      <w:r w:rsidR="00643BAC">
        <w:t>s</w:t>
      </w:r>
      <w:r w:rsidR="00B5643B">
        <w:t>.</w:t>
      </w:r>
      <w:r w:rsidRPr="008E4F84">
        <w:t xml:space="preserve"> </w:t>
      </w:r>
      <w:r w:rsidR="006D01AA">
        <w:t>We are seeing and major increase</w:t>
      </w:r>
      <w:r w:rsidRPr="008E4F84">
        <w:t xml:space="preserve"> </w:t>
      </w:r>
      <w:r w:rsidR="006D01AA">
        <w:t xml:space="preserve">in </w:t>
      </w:r>
      <w:r w:rsidRPr="008E4F84">
        <w:t>warm season</w:t>
      </w:r>
      <w:r w:rsidR="006D01AA">
        <w:t xml:space="preserve"> grass</w:t>
      </w:r>
      <w:r w:rsidRPr="008E4F84">
        <w:t xml:space="preserve"> dominance,</w:t>
      </w:r>
      <w:r w:rsidR="006D01AA">
        <w:t xml:space="preserve"> especially big bluestem</w:t>
      </w:r>
      <w:r w:rsidR="00B5643B">
        <w:t xml:space="preserve"> and indiangrass</w:t>
      </w:r>
      <w:r w:rsidR="006D01AA">
        <w:t xml:space="preserve">, but </w:t>
      </w:r>
      <w:r w:rsidRPr="008E4F84">
        <w:t xml:space="preserve">a balance of both cool and warm season grasses thru time </w:t>
      </w:r>
      <w:r w:rsidR="00487D93">
        <w:t xml:space="preserve">would be preferably </w:t>
      </w:r>
      <w:r w:rsidRPr="008E4F84">
        <w:t xml:space="preserve">expected. </w:t>
      </w:r>
      <w:r>
        <w:t>Replacement</w:t>
      </w:r>
      <w:r w:rsidR="006D01AA">
        <w:t xml:space="preserve"> </w:t>
      </w:r>
      <w:r>
        <w:t>of this early season niche seems to be primarily from Kentucky blue grass</w:t>
      </w:r>
      <w:r w:rsidR="00487D93">
        <w:t xml:space="preserve"> and/or smooth bromegrass</w:t>
      </w:r>
      <w:r>
        <w:t>.</w:t>
      </w:r>
      <w:r w:rsidR="00643BAC">
        <w:t xml:space="preserve"> This is a problem due to the </w:t>
      </w:r>
      <w:r w:rsidR="00643BAC">
        <w:lastRenderedPageBreak/>
        <w:t xml:space="preserve">dominance and </w:t>
      </w:r>
      <w:r w:rsidR="00E91328">
        <w:t xml:space="preserve">con-generic species </w:t>
      </w:r>
      <w:r w:rsidR="00643BAC">
        <w:t xml:space="preserve">exclusion each of these species </w:t>
      </w:r>
      <w:r w:rsidR="00AE371B">
        <w:t xml:space="preserve">exhibit. </w:t>
      </w:r>
      <w:r>
        <w:t xml:space="preserve">Management treatments of haying, rest and prescribed fire have </w:t>
      </w:r>
      <w:r w:rsidR="00487D93">
        <w:t>possibly</w:t>
      </w:r>
      <w:r w:rsidR="00FC09A3">
        <w:t xml:space="preserve"> exacerbated non-native cool season grass replacement.</w:t>
      </w:r>
      <w:r w:rsidR="00487D93">
        <w:t xml:space="preserve"> Grazing has not yet been evaluated.</w:t>
      </w:r>
      <w:r w:rsidR="00FC09A3">
        <w:t xml:space="preserve"> </w:t>
      </w:r>
      <w:r>
        <w:t xml:space="preserve"> </w:t>
      </w:r>
      <w:r w:rsidR="0067538A">
        <w:t>Figure</w:t>
      </w:r>
      <w:r w:rsidR="00487D93">
        <w:t>s</w:t>
      </w:r>
      <w:r w:rsidR="0067538A">
        <w:t xml:space="preserve"> 1</w:t>
      </w:r>
      <w:r w:rsidR="00487D93">
        <w:t xml:space="preserve"> and 2</w:t>
      </w:r>
      <w:r w:rsidR="0067538A">
        <w:t xml:space="preserve"> </w:t>
      </w:r>
      <w:r w:rsidR="00AD77F8">
        <w:t>provides a graphical illustration of this trend</w:t>
      </w:r>
      <w:r w:rsidR="00FB546B">
        <w:t xml:space="preserve"> at </w:t>
      </w:r>
      <w:r w:rsidR="00B5643B">
        <w:t>2</w:t>
      </w:r>
      <w:r w:rsidR="00FB546B">
        <w:t xml:space="preserve"> monitor</w:t>
      </w:r>
      <w:r w:rsidR="00B5643B">
        <w:t>ing</w:t>
      </w:r>
      <w:r w:rsidR="00FB546B">
        <w:t xml:space="preserve"> site</w:t>
      </w:r>
      <w:r w:rsidR="00B5643B">
        <w:t>s</w:t>
      </w:r>
      <w:r w:rsidR="00AD77F8">
        <w:t>;</w:t>
      </w:r>
      <w:r w:rsidR="0067538A">
        <w:t xml:space="preserve"> a decrease of cool season grasses and forb, but promotion of native big bluestem and non-native Kentucky bluegrass</w:t>
      </w:r>
      <w:r w:rsidR="00487D93">
        <w:t xml:space="preserve"> and smooth bromegrass</w:t>
      </w:r>
      <w:r w:rsidR="00B5643B">
        <w:t xml:space="preserve"> (Figures 1 and 2)</w:t>
      </w:r>
      <w:r w:rsidR="0067538A">
        <w:t xml:space="preserve">.  </w:t>
      </w:r>
    </w:p>
    <w:p w:rsidR="00B5643B" w:rsidRDefault="00B5643B" w:rsidP="00FB10D5">
      <w:proofErr w:type="gramStart"/>
      <w:r>
        <w:t>Figure</w:t>
      </w:r>
      <w:r w:rsidR="00624176">
        <w:t xml:space="preserve"> </w:t>
      </w:r>
      <w:r>
        <w:t>1.</w:t>
      </w:r>
      <w:proofErr w:type="gramEnd"/>
      <w:r>
        <w:t xml:space="preserve">  The V</w:t>
      </w:r>
      <w:r w:rsidR="00A9149F">
        <w:t>ollrath WPA in Towner County, North Dakota</w:t>
      </w:r>
      <w:r w:rsidR="00624176">
        <w:t xml:space="preserve">; </w:t>
      </w:r>
      <w:r w:rsidR="00624176" w:rsidRPr="00487D93">
        <w:rPr>
          <w:u w:val="single"/>
        </w:rPr>
        <w:t>planted in the spring of 2008</w:t>
      </w:r>
      <w:r w:rsidR="00624176">
        <w:t>, hayed once in the summer 2009 to control absinth wormwood, prescribed rest in 2010, 2011, 2012 and 2013, burned in the fall of 2014, prescribed</w:t>
      </w:r>
      <w:r w:rsidR="00C1664B">
        <w:t xml:space="preserve"> </w:t>
      </w:r>
      <w:r w:rsidR="00624176">
        <w:t>rest in 2015</w:t>
      </w:r>
      <w:r w:rsidR="00C1664B">
        <w:t xml:space="preserve"> and 2016</w:t>
      </w:r>
      <w:r w:rsidR="00624176">
        <w:t>.</w:t>
      </w:r>
      <w:r w:rsidR="00A9149F">
        <w:t xml:space="preserve"> </w:t>
      </w:r>
    </w:p>
    <w:p w:rsidR="008E4F84" w:rsidRDefault="006C11BF" w:rsidP="00FB10D5">
      <w:r>
        <w:rPr>
          <w:noProof/>
        </w:rPr>
        <w:drawing>
          <wp:inline distT="0" distB="0" distL="0" distR="0" wp14:anchorId="51E72C36" wp14:editId="2C043E2C">
            <wp:extent cx="5943600" cy="40862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6387" w:rsidRDefault="00FC0501" w:rsidP="007B559C">
      <w:r w:rsidRPr="00E44B49">
        <w:rPr>
          <w:u w:val="single"/>
        </w:rPr>
        <w:t>Interpretation for Vollrath</w:t>
      </w:r>
      <w:r w:rsidR="00E44B49" w:rsidRPr="00E44B49">
        <w:rPr>
          <w:u w:val="single"/>
        </w:rPr>
        <w:t xml:space="preserve"> WPA</w:t>
      </w:r>
      <w:r w:rsidRPr="00FC0501">
        <w:t xml:space="preserve"> – A noticeable drop in cool season native grasses such as green needlegrass and western wheatgrass (cool season natives) began immediately after 2008</w:t>
      </w:r>
      <w:r w:rsidR="00E91328">
        <w:t xml:space="preserve"> - 2011</w:t>
      </w:r>
      <w:r w:rsidRPr="00FC0501">
        <w:t xml:space="preserve"> with </w:t>
      </w:r>
      <w:r w:rsidR="00E91328">
        <w:t>prescribed rest as the dominant management</w:t>
      </w:r>
      <w:r w:rsidRPr="00FC0501">
        <w:t xml:space="preserve"> (Figure 1). Forbs dropped from 20% to 1%, however, the amount of bluegrass/natives and native/bluegrass account for forbs present so in reality, forbs are relative stable</w:t>
      </w:r>
      <w:r w:rsidR="00E91328">
        <w:t xml:space="preserve"> and visibly present across the field.</w:t>
      </w:r>
      <w:r w:rsidRPr="00FC0501">
        <w:t xml:space="preserve"> More troubling is the increase in Kentucky bluegrass which appears to increase “post fire” and will likely increase </w:t>
      </w:r>
      <w:r w:rsidR="00E91328">
        <w:t>with</w:t>
      </w:r>
      <w:r w:rsidRPr="00FC0501">
        <w:t xml:space="preserve"> time. On the positive side, the habitat structure is heterogeneous, and this is an important component for increased grassland bird diversity suggested by multiple literature citations.  The increased warm season native species of big bluestem and indiangrass may simply be aggressive cultivars that were planted within</w:t>
      </w:r>
      <w:r w:rsidR="00E91328">
        <w:t xml:space="preserve"> the original</w:t>
      </w:r>
      <w:r w:rsidRPr="00FC0501">
        <w:t xml:space="preserve"> </w:t>
      </w:r>
      <w:proofErr w:type="gramStart"/>
      <w:r w:rsidRPr="00FC0501">
        <w:t>mix</w:t>
      </w:r>
      <w:r w:rsidR="00E91328">
        <w:t>,</w:t>
      </w:r>
      <w:proofErr w:type="gramEnd"/>
      <w:r w:rsidR="00E91328">
        <w:t xml:space="preserve"> </w:t>
      </w:r>
      <w:r w:rsidRPr="00FC0501">
        <w:t xml:space="preserve">or a function of wetter than normal environmental conditions since 1994 which would favor these species. These points are speculative, yet are a starting point for future grassland discussions. More intensive </w:t>
      </w:r>
      <w:r w:rsidRPr="00FC0501">
        <w:lastRenderedPageBreak/>
        <w:t>monitoring (Daubenmire frames vs. belt transect method vs. Releve’ sampling) will be required to precisely confirm with certainty which species are increasing and decreasing; these</w:t>
      </w:r>
      <w:r w:rsidR="00E91328">
        <w:t xml:space="preserve"> Daubenmire</w:t>
      </w:r>
      <w:r w:rsidRPr="00FC0501">
        <w:t xml:space="preserve"> monitoring polygons were established in 2009 and data will be collected at 5 year intervals.</w:t>
      </w:r>
    </w:p>
    <w:p w:rsidR="00916387" w:rsidRDefault="00AE371B" w:rsidP="007B559C">
      <w:proofErr w:type="gramStart"/>
      <w:r>
        <w:t>F</w:t>
      </w:r>
      <w:r w:rsidR="00653ACA">
        <w:t>igure 2.</w:t>
      </w:r>
      <w:proofErr w:type="gramEnd"/>
      <w:r w:rsidR="00653ACA">
        <w:t xml:space="preserve">  </w:t>
      </w:r>
      <w:r w:rsidR="00653ACA" w:rsidRPr="00653ACA">
        <w:t xml:space="preserve">The </w:t>
      </w:r>
      <w:r w:rsidR="00653ACA">
        <w:t>Register</w:t>
      </w:r>
      <w:r w:rsidR="00653ACA" w:rsidRPr="00653ACA">
        <w:t xml:space="preserve"> WPA in Towner County, North Dakota; </w:t>
      </w:r>
      <w:r w:rsidR="00653ACA" w:rsidRPr="00487D93">
        <w:rPr>
          <w:u w:val="single"/>
        </w:rPr>
        <w:t>planted in the spring of 2006</w:t>
      </w:r>
      <w:r w:rsidR="00653ACA" w:rsidRPr="00653ACA">
        <w:t>, hayed</w:t>
      </w:r>
      <w:r w:rsidR="00653ACA">
        <w:t xml:space="preserve"> in 2009, 2010, 2011,</w:t>
      </w:r>
      <w:r w:rsidR="00653ACA" w:rsidRPr="00653ACA">
        <w:t xml:space="preserve"> </w:t>
      </w:r>
      <w:r w:rsidR="00653ACA">
        <w:t>and 2012, prescribed rest in 2013, 2014, 2015</w:t>
      </w:r>
      <w:r>
        <w:t xml:space="preserve"> and 201</w:t>
      </w:r>
      <w:r w:rsidR="00E91328">
        <w:t>6</w:t>
      </w:r>
      <w:r w:rsidR="00653ACA">
        <w:t xml:space="preserve">. </w:t>
      </w:r>
    </w:p>
    <w:p w:rsidR="00916387" w:rsidRDefault="00487D93" w:rsidP="007B559C">
      <w:r>
        <w:rPr>
          <w:noProof/>
        </w:rPr>
        <w:drawing>
          <wp:inline distT="0" distB="0" distL="0" distR="0" wp14:anchorId="58551DA5" wp14:editId="29EDCB91">
            <wp:extent cx="5943600" cy="4166870"/>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371B" w:rsidRPr="00AE371B" w:rsidRDefault="00AE371B" w:rsidP="007B559C">
      <w:r w:rsidRPr="00AE371B">
        <w:rPr>
          <w:u w:val="single"/>
        </w:rPr>
        <w:t>Interpretation for Register</w:t>
      </w:r>
      <w:r w:rsidR="00E44B49">
        <w:rPr>
          <w:u w:val="single"/>
        </w:rPr>
        <w:t xml:space="preserve"> WPA</w:t>
      </w:r>
      <w:r>
        <w:t xml:space="preserve"> </w:t>
      </w:r>
      <w:r w:rsidR="00CA5575">
        <w:t>–</w:t>
      </w:r>
      <w:r>
        <w:t xml:space="preserve"> </w:t>
      </w:r>
      <w:r w:rsidR="00CA5575">
        <w:t xml:space="preserve">Again, a noticeable drop in cool season natives, but this time the </w:t>
      </w:r>
      <w:r w:rsidR="00E91328">
        <w:t xml:space="preserve">cool season grass </w:t>
      </w:r>
      <w:r w:rsidR="00CA5575">
        <w:t>replacement</w:t>
      </w:r>
      <w:r w:rsidR="00E91328">
        <w:t xml:space="preserve"> </w:t>
      </w:r>
      <w:r w:rsidR="00CA5575">
        <w:t xml:space="preserve">of this niche was smooth bromegrass (Figure 2). The management of this site was exclusively haying; the site was hayed for multiple years consecutively from 2009 – 2012. A similar pattern has emerged with respect to warm season grasses and forbs as observed at the Vollrath site. Warm season grass has increased through time and is the most dominant feature of this site. Forbs have decreased, but they are present throughout the site and are present along with brome/natives and natives/brome areas. Noxious weeds have decreased over time which is a positive feature, also the habitat remains heterogeneous and somewhat structurally complex; pollinator opportunities exist but this must be monitored </w:t>
      </w:r>
      <w:r w:rsidR="00E91328">
        <w:t>to confirm the species and densities present</w:t>
      </w:r>
      <w:r w:rsidR="0082233A">
        <w:t>.</w:t>
      </w:r>
    </w:p>
    <w:p w:rsidR="008E4F84" w:rsidRPr="0060213B" w:rsidRDefault="00D14242" w:rsidP="0060213B">
      <w:pPr>
        <w:pStyle w:val="ListParagraph"/>
        <w:numPr>
          <w:ilvl w:val="0"/>
          <w:numId w:val="1"/>
        </w:numPr>
        <w:rPr>
          <w:u w:val="single"/>
        </w:rPr>
      </w:pPr>
      <w:r w:rsidRPr="0060213B">
        <w:rPr>
          <w:u w:val="single"/>
        </w:rPr>
        <w:t>Haying</w:t>
      </w:r>
      <w:r w:rsidR="00C056D8">
        <w:rPr>
          <w:u w:val="single"/>
        </w:rPr>
        <w:t xml:space="preserve"> and burning</w:t>
      </w:r>
      <w:r w:rsidRPr="0060213B">
        <w:rPr>
          <w:u w:val="single"/>
        </w:rPr>
        <w:t xml:space="preserve"> to inform management </w:t>
      </w:r>
      <w:r w:rsidR="00C056D8">
        <w:rPr>
          <w:u w:val="single"/>
        </w:rPr>
        <w:t>at</w:t>
      </w:r>
      <w:r w:rsidRPr="0060213B">
        <w:rPr>
          <w:u w:val="single"/>
        </w:rPr>
        <w:t xml:space="preserve"> P</w:t>
      </w:r>
      <w:r w:rsidR="00C056D8">
        <w:rPr>
          <w:u w:val="single"/>
        </w:rPr>
        <w:t xml:space="preserve">rairie </w:t>
      </w:r>
      <w:r w:rsidRPr="0060213B">
        <w:rPr>
          <w:u w:val="single"/>
        </w:rPr>
        <w:t>R</w:t>
      </w:r>
      <w:r w:rsidR="00C056D8">
        <w:rPr>
          <w:u w:val="single"/>
        </w:rPr>
        <w:t>econstruction</w:t>
      </w:r>
      <w:r w:rsidRPr="0060213B">
        <w:rPr>
          <w:u w:val="single"/>
        </w:rPr>
        <w:t xml:space="preserve"> tracts</w:t>
      </w:r>
      <w:r w:rsidR="00230C0C" w:rsidRPr="0060213B">
        <w:rPr>
          <w:u w:val="single"/>
        </w:rPr>
        <w:t xml:space="preserve"> – The Neer WPA</w:t>
      </w:r>
    </w:p>
    <w:p w:rsidR="0060213B" w:rsidRDefault="00230C0C" w:rsidP="00FB10D5">
      <w:r>
        <w:t>The Neer WPA was planted in 2012 and is still in an early establishment period</w:t>
      </w:r>
      <w:r w:rsidR="00C056D8">
        <w:t xml:space="preserve"> (Figure 3)</w:t>
      </w:r>
      <w:r>
        <w:t xml:space="preserve">. This WPA has 2 unique soil types: the south side is higher and </w:t>
      </w:r>
      <w:r w:rsidR="0060213B">
        <w:t>drier;</w:t>
      </w:r>
      <w:r>
        <w:t xml:space="preserve"> the north side is flat, lower and more mesic. </w:t>
      </w:r>
      <w:r w:rsidR="00D20F9A">
        <w:t xml:space="preserve">The </w:t>
      </w:r>
      <w:r w:rsidR="00D20F9A">
        <w:lastRenderedPageBreak/>
        <w:t>WPA was hayed twice since and 201</w:t>
      </w:r>
      <w:r w:rsidR="00C056D8">
        <w:t>6</w:t>
      </w:r>
      <w:r w:rsidR="00D20F9A">
        <w:t xml:space="preserve"> on either side – but the establishment initially was much better on the south-high/dry side of the WPA.  What is interesting is the increase of dry cool season </w:t>
      </w:r>
      <w:r w:rsidR="00FC5F79">
        <w:t xml:space="preserve">native </w:t>
      </w:r>
      <w:r w:rsidR="00D20F9A">
        <w:t>grasses</w:t>
      </w:r>
      <w:r w:rsidR="00FC5F79">
        <w:t xml:space="preserve"> (CSN)</w:t>
      </w:r>
      <w:r w:rsidR="00D20F9A">
        <w:t xml:space="preserve"> on both sides of the WPA, and the persistence of slender wheatgrass, although slender wheatgrass is a decreaser and </w:t>
      </w:r>
      <w:r w:rsidR="00C056D8">
        <w:t>should</w:t>
      </w:r>
      <w:r w:rsidR="00D20F9A">
        <w:t xml:space="preserve"> drop out over time. Has haying in August of 2012 and 2015 improved the </w:t>
      </w:r>
      <w:r w:rsidR="00FC5F79">
        <w:t>CSN</w:t>
      </w:r>
      <w:r w:rsidR="00D20F9A">
        <w:t xml:space="preserve"> component of this</w:t>
      </w:r>
      <w:r w:rsidR="00E44B49">
        <w:t>/these</w:t>
      </w:r>
      <w:r w:rsidR="00D20F9A">
        <w:t xml:space="preserve"> stand</w:t>
      </w:r>
      <w:r w:rsidR="00E44B49">
        <w:t>s</w:t>
      </w:r>
      <w:r w:rsidR="00D20F9A">
        <w:t>?</w:t>
      </w:r>
      <w:r w:rsidR="0060213B">
        <w:t xml:space="preserve"> </w:t>
      </w:r>
      <w:r w:rsidR="00C056D8">
        <w:t xml:space="preserve">A burn on the </w:t>
      </w:r>
      <w:proofErr w:type="spellStart"/>
      <w:r w:rsidR="00C056D8">
        <w:t>westside</w:t>
      </w:r>
      <w:proofErr w:type="spellEnd"/>
      <w:r w:rsidR="00C056D8">
        <w:t xml:space="preserve"> in 2015</w:t>
      </w:r>
      <w:r w:rsidR="00E44B49">
        <w:t xml:space="preserve"> certainly caused a</w:t>
      </w:r>
      <w:r w:rsidR="00C056D8">
        <w:t xml:space="preserve"> major increase of warm season native grasses as expected. </w:t>
      </w:r>
      <w:r w:rsidR="00D20F9A">
        <w:t xml:space="preserve"> Haying will continue and we will continue to monitor. Also note the loss of forbs at both </w:t>
      </w:r>
      <w:r w:rsidR="00FC5F79">
        <w:t>sites;</w:t>
      </w:r>
      <w:r w:rsidR="00D20F9A">
        <w:t xml:space="preserve"> this is another troubling trend</w:t>
      </w:r>
      <w:r w:rsidR="00E44B49">
        <w:t xml:space="preserve"> across many </w:t>
      </w:r>
      <w:r w:rsidR="008C1CF4">
        <w:t xml:space="preserve">PR </w:t>
      </w:r>
      <w:r w:rsidR="00E44B49">
        <w:t xml:space="preserve">sites and </w:t>
      </w:r>
      <w:r w:rsidR="00D20F9A">
        <w:t xml:space="preserve">we will </w:t>
      </w:r>
      <w:r w:rsidR="00E44B49">
        <w:t xml:space="preserve">continue </w:t>
      </w:r>
      <w:r w:rsidR="008C1CF4">
        <w:t>to explore</w:t>
      </w:r>
      <w:r w:rsidR="00D20F9A">
        <w:t>. Currently, other stations are using higher levels of forbs in initial mixes, 50-75% forb, 50-25% grass at initial restoration</w:t>
      </w:r>
      <w:r w:rsidR="00E44B49">
        <w:t>, but we have no idea what their monitoring results are indicating</w:t>
      </w:r>
      <w:r w:rsidR="00D20F9A">
        <w:t>.</w:t>
      </w:r>
      <w:r>
        <w:t xml:space="preserve"> </w:t>
      </w:r>
      <w:r w:rsidR="00615757">
        <w:t>The belt transect method was used to monitor vegetation</w:t>
      </w:r>
      <w:r w:rsidR="00E44B49">
        <w:t xml:space="preserve"> at Neer WPA</w:t>
      </w:r>
      <w:r w:rsidR="00615757">
        <w:t>.</w:t>
      </w:r>
    </w:p>
    <w:p w:rsidR="000965F8" w:rsidRDefault="00230C0C" w:rsidP="00FB10D5">
      <w:r>
        <w:t xml:space="preserve">  </w:t>
      </w:r>
      <w:r w:rsidR="00FB10D5">
        <w:tab/>
      </w:r>
      <w:proofErr w:type="gramStart"/>
      <w:r w:rsidR="00C056D8">
        <w:t>Figure 3.</w:t>
      </w:r>
      <w:proofErr w:type="gramEnd"/>
      <w:r w:rsidR="00C056D8">
        <w:t xml:space="preserve"> An early established, intensely monitored prairie reconstruction site with haying and burning as the primary management treatments located in Benson County, Devils Lake WMD.</w:t>
      </w:r>
      <w:r w:rsidR="00FB10D5">
        <w:tab/>
      </w:r>
      <w:r w:rsidR="00FB10D5">
        <w:tab/>
      </w:r>
      <w:r w:rsidR="0060213B">
        <w:rPr>
          <w:noProof/>
        </w:rPr>
        <w:drawing>
          <wp:inline distT="0" distB="0" distL="0" distR="0" wp14:anchorId="4CF7176B">
            <wp:extent cx="4061460" cy="550104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869" cy="5505662"/>
                    </a:xfrm>
                    <a:prstGeom prst="rect">
                      <a:avLst/>
                    </a:prstGeom>
                    <a:noFill/>
                  </pic:spPr>
                </pic:pic>
              </a:graphicData>
            </a:graphic>
          </wp:inline>
        </w:drawing>
      </w:r>
      <w:r w:rsidR="00FB10D5">
        <w:tab/>
      </w:r>
      <w:r w:rsidR="00FB10D5">
        <w:tab/>
      </w:r>
      <w:r w:rsidR="00FB10D5">
        <w:tab/>
      </w:r>
      <w:r w:rsidR="00FB10D5">
        <w:tab/>
      </w:r>
    </w:p>
    <w:p w:rsidR="002D70AA" w:rsidRPr="000965F8" w:rsidRDefault="000965F8" w:rsidP="000965F8">
      <w:pPr>
        <w:ind w:left="360" w:firstLine="360"/>
        <w:rPr>
          <w:u w:val="single"/>
        </w:rPr>
      </w:pPr>
      <w:r>
        <w:rPr>
          <w:u w:val="single"/>
        </w:rPr>
        <w:lastRenderedPageBreak/>
        <w:t xml:space="preserve">3. </w:t>
      </w:r>
      <w:r w:rsidRPr="000965F8">
        <w:rPr>
          <w:u w:val="single"/>
        </w:rPr>
        <w:t xml:space="preserve"> </w:t>
      </w:r>
      <w:r w:rsidR="002D70AA" w:rsidRPr="000965F8">
        <w:rPr>
          <w:u w:val="single"/>
        </w:rPr>
        <w:t xml:space="preserve">Our oldest PR site – Field 101, </w:t>
      </w:r>
      <w:r w:rsidR="00FC5F79" w:rsidRPr="000965F8">
        <w:rPr>
          <w:u w:val="single"/>
        </w:rPr>
        <w:t>Nikolaisen</w:t>
      </w:r>
      <w:r w:rsidR="002D70AA" w:rsidRPr="000965F8">
        <w:rPr>
          <w:u w:val="single"/>
        </w:rPr>
        <w:t xml:space="preserve"> WPA</w:t>
      </w:r>
      <w:r w:rsidR="00FC5F79" w:rsidRPr="000965F8">
        <w:rPr>
          <w:u w:val="single"/>
        </w:rPr>
        <w:t xml:space="preserve"> (a.k.a. </w:t>
      </w:r>
      <w:proofErr w:type="spellStart"/>
      <w:r w:rsidR="00FC5F79" w:rsidRPr="000965F8">
        <w:rPr>
          <w:u w:val="single"/>
        </w:rPr>
        <w:t>Cami’s</w:t>
      </w:r>
      <w:proofErr w:type="spellEnd"/>
      <w:r w:rsidR="00FC5F79" w:rsidRPr="000965F8">
        <w:rPr>
          <w:u w:val="single"/>
        </w:rPr>
        <w:t xml:space="preserve"> Field)</w:t>
      </w:r>
    </w:p>
    <w:p w:rsidR="00C056D8" w:rsidRDefault="00DA40F5" w:rsidP="002D70AA">
      <w:pPr>
        <w:ind w:left="360"/>
      </w:pPr>
      <w:r>
        <w:t xml:space="preserve">Our first “true” prairie reconstruction site was </w:t>
      </w:r>
      <w:r w:rsidR="000965F8">
        <w:t xml:space="preserve"> a 101 acres site </w:t>
      </w:r>
      <w:r>
        <w:t xml:space="preserve">located </w:t>
      </w:r>
      <w:r w:rsidR="006475CD">
        <w:t xml:space="preserve">at </w:t>
      </w:r>
      <w:r>
        <w:t>the Nikolaisen WPA</w:t>
      </w:r>
      <w:r w:rsidR="000965F8">
        <w:t xml:space="preserve"> </w:t>
      </w:r>
      <w:r>
        <w:t>and  seeded in spring of 200</w:t>
      </w:r>
      <w:r w:rsidR="00C1664B">
        <w:t>5</w:t>
      </w:r>
      <w:r w:rsidR="00615757">
        <w:t xml:space="preserve"> (Figure 4)</w:t>
      </w:r>
      <w:r>
        <w:t>.</w:t>
      </w:r>
      <w:r w:rsidR="00FC5F79">
        <w:t xml:space="preserve"> Funding to initiate this restoration occurred from “Ruddy Duck Mitigation” </w:t>
      </w:r>
      <w:r w:rsidR="000965F8">
        <w:t xml:space="preserve">funds </w:t>
      </w:r>
      <w:r w:rsidR="00FC5F79">
        <w:t>from an oil spill occurring in the Potomac River drainage in Maryland.</w:t>
      </w:r>
      <w:r>
        <w:t xml:space="preserve"> The blue bars represent what the field would have looked like initially</w:t>
      </w:r>
      <w:r w:rsidR="006475CD">
        <w:t xml:space="preserve"> (25 species mix)</w:t>
      </w:r>
      <w:r>
        <w:t xml:space="preserve"> at restoration, the </w:t>
      </w:r>
      <w:r w:rsidR="00615757">
        <w:t>green</w:t>
      </w:r>
      <w:r>
        <w:t xml:space="preserve"> bars show what the field looks like today.  It is dominated by little bluestem, </w:t>
      </w:r>
      <w:proofErr w:type="spellStart"/>
      <w:r>
        <w:t>gramas</w:t>
      </w:r>
      <w:proofErr w:type="spellEnd"/>
      <w:r>
        <w:t xml:space="preserve">, big bluestem and </w:t>
      </w:r>
      <w:r w:rsidR="008C1CF4">
        <w:t>i</w:t>
      </w:r>
      <w:r>
        <w:t>ndiangrass</w:t>
      </w:r>
      <w:r w:rsidR="006475CD">
        <w:t xml:space="preserve"> and a variety of forbs; stiff goldenrod, yellow coneflower, Canada milk vetch, wild bergamot</w:t>
      </w:r>
      <w:r w:rsidR="008C1CF4">
        <w:t xml:space="preserve"> and leadplant</w:t>
      </w:r>
      <w:r>
        <w:t>.  The field has been periodically managed through</w:t>
      </w:r>
      <w:r w:rsidR="00615757">
        <w:t>out</w:t>
      </w:r>
      <w:r>
        <w:t xml:space="preserve"> </w:t>
      </w:r>
      <w:r w:rsidR="00115203">
        <w:t>its</w:t>
      </w:r>
      <w:r>
        <w:t xml:space="preserve"> 1</w:t>
      </w:r>
      <w:r w:rsidR="008C1CF4">
        <w:t>3</w:t>
      </w:r>
      <w:r>
        <w:t xml:space="preserve"> year lifespan as noted below. Note</w:t>
      </w:r>
      <w:r w:rsidR="002D70AA">
        <w:t xml:space="preserve"> again</w:t>
      </w:r>
      <w:r>
        <w:t xml:space="preserve"> the continued loss of cool season native grasses</w:t>
      </w:r>
      <w:r w:rsidR="00615757">
        <w:t xml:space="preserve">, but </w:t>
      </w:r>
      <w:r>
        <w:t>forbs</w:t>
      </w:r>
      <w:r w:rsidR="006475CD">
        <w:t xml:space="preserve"> </w:t>
      </w:r>
      <w:r w:rsidR="00615757">
        <w:t xml:space="preserve">have been maintained at roughly 25% </w:t>
      </w:r>
      <w:r w:rsidR="000965F8">
        <w:t xml:space="preserve">during the </w:t>
      </w:r>
      <w:r w:rsidR="00615757">
        <w:t>2016</w:t>
      </w:r>
      <w:r w:rsidR="000965F8">
        <w:t xml:space="preserve"> evaluation.</w:t>
      </w:r>
      <w:r>
        <w:t xml:space="preserve"> K</w:t>
      </w:r>
      <w:r w:rsidR="00615757">
        <w:t>entucky bluegrass</w:t>
      </w:r>
      <w:r>
        <w:t xml:space="preserve"> </w:t>
      </w:r>
      <w:r w:rsidR="00615757">
        <w:t>continues to increase and will likely be a problem into the futu</w:t>
      </w:r>
      <w:r w:rsidR="000965F8">
        <w:t>re</w:t>
      </w:r>
      <w:r w:rsidR="00615757">
        <w:t>. S</w:t>
      </w:r>
      <w:r>
        <w:t>mooth bromegrass</w:t>
      </w:r>
      <w:r w:rsidR="00FC5F79">
        <w:t xml:space="preserve"> and Canada thistle</w:t>
      </w:r>
      <w:r>
        <w:t xml:space="preserve"> continue to be minimal.   What we’ve learned from this site and other</w:t>
      </w:r>
      <w:r w:rsidR="006475CD">
        <w:t>s</w:t>
      </w:r>
      <w:r w:rsidR="002D70AA">
        <w:t xml:space="preserve"> like it </w:t>
      </w:r>
      <w:r>
        <w:t xml:space="preserve">is that a manger </w:t>
      </w:r>
      <w:r w:rsidR="002D70AA">
        <w:t xml:space="preserve">must have </w:t>
      </w:r>
      <w:r>
        <w:t xml:space="preserve">good </w:t>
      </w:r>
      <w:r w:rsidR="008C1CF4">
        <w:t xml:space="preserve">management </w:t>
      </w:r>
      <w:r>
        <w:t>options</w:t>
      </w:r>
      <w:r w:rsidR="008C1CF4">
        <w:t xml:space="preserve"> and good cooperators to accomplish grassland management over red-meat production</w:t>
      </w:r>
      <w:r>
        <w:t xml:space="preserve">. </w:t>
      </w:r>
      <w:r w:rsidR="008C1CF4">
        <w:t>B</w:t>
      </w:r>
      <w:r>
        <w:t>urn</w:t>
      </w:r>
      <w:r w:rsidR="008C1CF4">
        <w:t>ing</w:t>
      </w:r>
      <w:r>
        <w:t xml:space="preserve"> the site</w:t>
      </w:r>
      <w:r w:rsidR="008C1CF4">
        <w:t xml:space="preserve"> is a current option, but what we’ve learned to date is a spring or fall burn will likely spur KBG growth (and other beneficial species)</w:t>
      </w:r>
      <w:r>
        <w:t xml:space="preserve"> </w:t>
      </w:r>
      <w:r w:rsidR="000965F8">
        <w:t>KBG management</w:t>
      </w:r>
      <w:r w:rsidR="00C63B5F">
        <w:t xml:space="preserve"> is where most of our response uncertainty lays</w:t>
      </w:r>
      <w:r w:rsidR="000965F8">
        <w:t xml:space="preserve"> as KBG </w:t>
      </w:r>
      <w:r w:rsidR="00C63B5F">
        <w:t>is a tough competitor and our management methods to decrease this species</w:t>
      </w:r>
      <w:r w:rsidR="000965F8">
        <w:t xml:space="preserve"> to date have been</w:t>
      </w:r>
      <w:r w:rsidR="00C63B5F">
        <w:t xml:space="preserve"> futile.</w:t>
      </w:r>
      <w:r w:rsidR="008C1CF4">
        <w:t xml:space="preserve"> </w:t>
      </w:r>
      <w:r w:rsidR="00C63B5F">
        <w:t xml:space="preserve"> The good news, the habitat is heterogeneous and species richness across the landscape</w:t>
      </w:r>
      <w:r w:rsidR="00C1664B">
        <w:t xml:space="preserve"> remains </w:t>
      </w:r>
      <w:r w:rsidR="00C63B5F">
        <w:t>high providing opportunities for a rich diversity</w:t>
      </w:r>
      <w:r w:rsidR="000965F8">
        <w:t xml:space="preserve"> </w:t>
      </w:r>
      <w:r w:rsidR="00C63B5F">
        <w:t>of faunal biota from May through October</w:t>
      </w:r>
      <w:r w:rsidR="00C1664B">
        <w:t xml:space="preserve">, twelve years after restoration. </w:t>
      </w:r>
      <w:r w:rsidR="000965F8">
        <w:t>Monitoring is ongoing.</w:t>
      </w:r>
    </w:p>
    <w:p w:rsidR="00C63B5F" w:rsidRDefault="00C63B5F" w:rsidP="002D70AA">
      <w:pPr>
        <w:ind w:left="360"/>
      </w:pPr>
      <w:proofErr w:type="gramStart"/>
      <w:r>
        <w:t>Figure 4.</w:t>
      </w:r>
      <w:proofErr w:type="gramEnd"/>
      <w:r>
        <w:t xml:space="preserve"> Field 101 (</w:t>
      </w:r>
      <w:proofErr w:type="spellStart"/>
      <w:r>
        <w:t>Cami’s</w:t>
      </w:r>
      <w:proofErr w:type="spellEnd"/>
      <w:r>
        <w:t xml:space="preserve"> Field) management and vegetation monitoring results over 12 growing seasons at the Nikolaisen WPA, Towner County, Devils Lake WMD.</w:t>
      </w:r>
    </w:p>
    <w:p w:rsidR="00C63B5F" w:rsidRDefault="00C63B5F" w:rsidP="002D70AA">
      <w:pPr>
        <w:ind w:left="360"/>
      </w:pPr>
      <w:r>
        <w:rPr>
          <w:noProof/>
        </w:rPr>
        <w:drawing>
          <wp:inline distT="0" distB="0" distL="0" distR="0" wp14:anchorId="073F4FE8">
            <wp:extent cx="2773680" cy="2054225"/>
            <wp:effectExtent l="0" t="0" r="762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80" cy="2054225"/>
                    </a:xfrm>
                    <a:prstGeom prst="rect">
                      <a:avLst/>
                    </a:prstGeom>
                    <a:noFill/>
                  </pic:spPr>
                </pic:pic>
              </a:graphicData>
            </a:graphic>
          </wp:inline>
        </w:drawing>
      </w:r>
      <w:r w:rsidR="004701DC">
        <w:rPr>
          <w:noProof/>
        </w:rPr>
        <w:drawing>
          <wp:inline distT="0" distB="0" distL="0" distR="0" wp14:anchorId="197A92F1">
            <wp:extent cx="2773680" cy="2036177"/>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2036177"/>
                    </a:xfrm>
                    <a:prstGeom prst="rect">
                      <a:avLst/>
                    </a:prstGeom>
                    <a:noFill/>
                  </pic:spPr>
                </pic:pic>
              </a:graphicData>
            </a:graphic>
          </wp:inline>
        </w:drawing>
      </w:r>
    </w:p>
    <w:p w:rsidR="00E74A0C" w:rsidRPr="000965F8" w:rsidRDefault="00EC0B8E" w:rsidP="000965F8">
      <w:pPr>
        <w:pStyle w:val="ListParagraph"/>
        <w:numPr>
          <w:ilvl w:val="0"/>
          <w:numId w:val="2"/>
        </w:numPr>
        <w:rPr>
          <w:u w:val="single"/>
        </w:rPr>
      </w:pPr>
      <w:r w:rsidRPr="000965F8">
        <w:rPr>
          <w:u w:val="single"/>
        </w:rPr>
        <w:t>FIELD 38</w:t>
      </w:r>
      <w:r w:rsidR="00E74A0C" w:rsidRPr="000965F8">
        <w:rPr>
          <w:u w:val="single"/>
        </w:rPr>
        <w:t xml:space="preserve"> – Nikolaisen WPA – Interseeding forbs </w:t>
      </w:r>
      <w:r w:rsidR="00706833" w:rsidRPr="000965F8">
        <w:rPr>
          <w:u w:val="single"/>
        </w:rPr>
        <w:t>at</w:t>
      </w:r>
      <w:r w:rsidR="00E74A0C" w:rsidRPr="000965F8">
        <w:rPr>
          <w:u w:val="single"/>
        </w:rPr>
        <w:t xml:space="preserve"> an established </w:t>
      </w:r>
      <w:r w:rsidR="004F6240">
        <w:rPr>
          <w:u w:val="single"/>
        </w:rPr>
        <w:t xml:space="preserve">PR </w:t>
      </w:r>
      <w:r w:rsidR="00E74A0C" w:rsidRPr="000965F8">
        <w:rPr>
          <w:u w:val="single"/>
        </w:rPr>
        <w:t>site.</w:t>
      </w:r>
    </w:p>
    <w:p w:rsidR="00E74A0C" w:rsidRPr="004F6240" w:rsidRDefault="00E74A0C" w:rsidP="00E74A0C">
      <w:pPr>
        <w:rPr>
          <w:rFonts w:eastAsia="Times New Roman" w:cs="Times New Roman"/>
        </w:rPr>
      </w:pPr>
      <w:r>
        <w:t xml:space="preserve">Field 38 was restored with native grasses and forbs in the spring of 2005. The site was not a traditional diverse mixture; we used 7 species of </w:t>
      </w:r>
      <w:r w:rsidR="00706833">
        <w:t xml:space="preserve">native </w:t>
      </w:r>
      <w:r>
        <w:t xml:space="preserve">grasses </w:t>
      </w:r>
      <w:r w:rsidR="00CE72E9">
        <w:t>and</w:t>
      </w:r>
      <w:r>
        <w:t xml:space="preserve"> only 4 species of forbs at restoration.  The </w:t>
      </w:r>
      <w:r w:rsidRPr="004F6240">
        <w:t>grasses (g</w:t>
      </w:r>
      <w:r w:rsidRPr="004F6240">
        <w:rPr>
          <w:rFonts w:eastAsia="Times New Roman" w:cs="Times New Roman"/>
        </w:rPr>
        <w:t xml:space="preserve">reen needlegrass, western and slender wheatgrass, needle and thread, little and big bluestem, </w:t>
      </w:r>
      <w:proofErr w:type="spellStart"/>
      <w:r w:rsidRPr="004F6240">
        <w:rPr>
          <w:rFonts w:eastAsia="Times New Roman" w:cs="Times New Roman"/>
        </w:rPr>
        <w:t>switchgrass</w:t>
      </w:r>
      <w:proofErr w:type="spellEnd"/>
      <w:r w:rsidRPr="004F6240">
        <w:rPr>
          <w:rFonts w:eastAsia="Times New Roman" w:cs="Times New Roman"/>
        </w:rPr>
        <w:t xml:space="preserve">) and forbs (Maximillian sunflower, yellow coneflower, rough </w:t>
      </w:r>
      <w:proofErr w:type="spellStart"/>
      <w:r w:rsidRPr="004F6240">
        <w:rPr>
          <w:rFonts w:eastAsia="Times New Roman" w:cs="Times New Roman"/>
        </w:rPr>
        <w:t>blazingstar</w:t>
      </w:r>
      <w:proofErr w:type="spellEnd"/>
      <w:r w:rsidRPr="004F6240">
        <w:rPr>
          <w:rFonts w:eastAsia="Times New Roman" w:cs="Times New Roman"/>
        </w:rPr>
        <w:t xml:space="preserve">, purple prairie clover) were planted at </w:t>
      </w:r>
      <w:r w:rsidR="00CE72E9" w:rsidRPr="004F6240">
        <w:rPr>
          <w:rFonts w:eastAsia="Times New Roman" w:cs="Times New Roman"/>
        </w:rPr>
        <w:t xml:space="preserve">approximately 7.5 lbs. per acre, with grasses comprising 75% of the mix and forbs 25%.  The site was hayed once in the fall of 2005, and was idle from 2006 to the fall of 2009. </w:t>
      </w:r>
    </w:p>
    <w:p w:rsidR="00CE72E9" w:rsidRPr="004F6240" w:rsidRDefault="00CE72E9" w:rsidP="00CE72E9">
      <w:pPr>
        <w:rPr>
          <w:rFonts w:eastAsia="Times New Roman" w:cs="Times New Roman"/>
        </w:rPr>
      </w:pPr>
      <w:r w:rsidRPr="004F6240">
        <w:rPr>
          <w:rFonts w:eastAsia="Times New Roman" w:cs="Times New Roman"/>
        </w:rPr>
        <w:lastRenderedPageBreak/>
        <w:t>In the spring of 2010 and after our monitoring revealed a drop in forb abundance yet excellent grass coverage, a decision was made to interseed 10 species of forbs into this existing grass stand. The site was hayed in the fall of 2009, and interseeded with a Truax grass drill in the spring of 2010.   The forbs selected were; western yarrow, purple coneflower,  black-eyed susan, yellow coneflower, Canada milkvetch, wild bergamot, golden alexander, blue ver</w:t>
      </w:r>
      <w:r w:rsidR="00220147" w:rsidRPr="004F6240">
        <w:rPr>
          <w:rFonts w:eastAsia="Times New Roman" w:cs="Times New Roman"/>
        </w:rPr>
        <w:t>vain</w:t>
      </w:r>
      <w:r w:rsidRPr="004F6240">
        <w:rPr>
          <w:rFonts w:eastAsia="Times New Roman" w:cs="Times New Roman"/>
        </w:rPr>
        <w:t>, purple prairie clover, Maximillian sunflower and Lewis flax.</w:t>
      </w:r>
      <w:r w:rsidR="00706833" w:rsidRPr="004F6240">
        <w:rPr>
          <w:rFonts w:eastAsia="Times New Roman" w:cs="Times New Roman"/>
        </w:rPr>
        <w:t xml:space="preserve">  The </w:t>
      </w:r>
      <w:r w:rsidR="00401311">
        <w:rPr>
          <w:rFonts w:eastAsia="Times New Roman" w:cs="Times New Roman"/>
        </w:rPr>
        <w:t xml:space="preserve">seed </w:t>
      </w:r>
      <w:r w:rsidR="00706833" w:rsidRPr="004F6240">
        <w:rPr>
          <w:rFonts w:eastAsia="Times New Roman" w:cs="Times New Roman"/>
        </w:rPr>
        <w:t>cost for this</w:t>
      </w:r>
      <w:r w:rsidR="00401311">
        <w:rPr>
          <w:rFonts w:eastAsia="Times New Roman" w:cs="Times New Roman"/>
        </w:rPr>
        <w:t xml:space="preserve"> effort</w:t>
      </w:r>
      <w:r w:rsidR="00706833" w:rsidRPr="004F6240">
        <w:rPr>
          <w:rFonts w:eastAsia="Times New Roman" w:cs="Times New Roman"/>
        </w:rPr>
        <w:t xml:space="preserve"> was $58.00 per acre.</w:t>
      </w:r>
      <w:r w:rsidR="00401311">
        <w:rPr>
          <w:rFonts w:eastAsia="Times New Roman" w:cs="Times New Roman"/>
        </w:rPr>
        <w:t xml:space="preserve"> </w:t>
      </w:r>
    </w:p>
    <w:p w:rsidR="00CE72E9" w:rsidRPr="004F6240" w:rsidRDefault="00CE72E9" w:rsidP="00CE72E9">
      <w:pPr>
        <w:rPr>
          <w:rFonts w:eastAsia="Times New Roman" w:cs="Times New Roman"/>
        </w:rPr>
      </w:pPr>
      <w:r w:rsidRPr="004F6240">
        <w:rPr>
          <w:rFonts w:eastAsia="Times New Roman" w:cs="Times New Roman"/>
        </w:rPr>
        <w:t>Results</w:t>
      </w:r>
      <w:r w:rsidR="00401311">
        <w:rPr>
          <w:rFonts w:eastAsia="Times New Roman" w:cs="Times New Roman"/>
        </w:rPr>
        <w:t>:</w:t>
      </w:r>
      <w:r w:rsidRPr="004F6240">
        <w:rPr>
          <w:rFonts w:eastAsia="Times New Roman" w:cs="Times New Roman"/>
        </w:rPr>
        <w:t xml:space="preserve"> We monitored </w:t>
      </w:r>
      <w:r w:rsidR="00220147" w:rsidRPr="004F6240">
        <w:rPr>
          <w:rFonts w:eastAsia="Times New Roman" w:cs="Times New Roman"/>
        </w:rPr>
        <w:t>75</w:t>
      </w:r>
      <w:r w:rsidR="00401311">
        <w:rPr>
          <w:rFonts w:eastAsia="Times New Roman" w:cs="Times New Roman"/>
        </w:rPr>
        <w:t xml:space="preserve"> -</w:t>
      </w:r>
      <w:r w:rsidRPr="004F6240">
        <w:rPr>
          <w:rFonts w:eastAsia="Times New Roman" w:cs="Times New Roman"/>
        </w:rPr>
        <w:t xml:space="preserve"> 1m x 1m blocks </w:t>
      </w:r>
      <w:r w:rsidR="00401311">
        <w:rPr>
          <w:rFonts w:eastAsia="Times New Roman" w:cs="Times New Roman"/>
        </w:rPr>
        <w:t>across</w:t>
      </w:r>
      <w:r w:rsidRPr="004F6240">
        <w:rPr>
          <w:rFonts w:eastAsia="Times New Roman" w:cs="Times New Roman"/>
        </w:rPr>
        <w:t xml:space="preserve"> the field beginning in late summer of 201</w:t>
      </w:r>
      <w:r w:rsidR="004F1C8F" w:rsidRPr="004F6240">
        <w:rPr>
          <w:rFonts w:eastAsia="Times New Roman" w:cs="Times New Roman"/>
        </w:rPr>
        <w:t>1,</w:t>
      </w:r>
      <w:r w:rsidR="00401311">
        <w:rPr>
          <w:rFonts w:eastAsia="Times New Roman" w:cs="Times New Roman"/>
        </w:rPr>
        <w:t xml:space="preserve"> </w:t>
      </w:r>
      <w:r w:rsidR="004F1C8F" w:rsidRPr="004F6240">
        <w:rPr>
          <w:rFonts w:eastAsia="Times New Roman" w:cs="Times New Roman"/>
        </w:rPr>
        <w:t>and again in 2013</w:t>
      </w:r>
      <w:r w:rsidR="00220147" w:rsidRPr="004F6240">
        <w:rPr>
          <w:rFonts w:eastAsia="Times New Roman" w:cs="Times New Roman"/>
        </w:rPr>
        <w:t xml:space="preserve">, </w:t>
      </w:r>
      <w:r w:rsidR="004F1C8F" w:rsidRPr="004F6240">
        <w:rPr>
          <w:rFonts w:eastAsia="Times New Roman" w:cs="Times New Roman"/>
        </w:rPr>
        <w:t>2014</w:t>
      </w:r>
      <w:r w:rsidR="00220147" w:rsidRPr="004F6240">
        <w:rPr>
          <w:rFonts w:eastAsia="Times New Roman" w:cs="Times New Roman"/>
        </w:rPr>
        <w:t xml:space="preserve"> and 2016</w:t>
      </w:r>
      <w:r w:rsidR="004F1C8F" w:rsidRPr="004F6240">
        <w:rPr>
          <w:rFonts w:eastAsia="Times New Roman" w:cs="Times New Roman"/>
        </w:rPr>
        <w:t>.</w:t>
      </w:r>
      <w:r w:rsidRPr="004F6240">
        <w:rPr>
          <w:rFonts w:eastAsia="Times New Roman" w:cs="Times New Roman"/>
        </w:rPr>
        <w:t xml:space="preserve"> </w:t>
      </w:r>
      <w:r w:rsidR="004F1C8F" w:rsidRPr="004F6240">
        <w:rPr>
          <w:rFonts w:eastAsia="Times New Roman" w:cs="Times New Roman"/>
        </w:rPr>
        <w:t xml:space="preserve">  The following chart shows the </w:t>
      </w:r>
      <w:r w:rsidR="00401311">
        <w:rPr>
          <w:rFonts w:eastAsia="Times New Roman" w:cs="Times New Roman"/>
        </w:rPr>
        <w:t>results</w:t>
      </w:r>
      <w:r w:rsidR="004F1C8F" w:rsidRPr="004F6240">
        <w:rPr>
          <w:rFonts w:eastAsia="Times New Roman" w:cs="Times New Roman"/>
        </w:rPr>
        <w:t xml:space="preserve"> of</w:t>
      </w:r>
      <w:r w:rsidR="00401311">
        <w:rPr>
          <w:rFonts w:eastAsia="Times New Roman" w:cs="Times New Roman"/>
        </w:rPr>
        <w:t xml:space="preserve"> each</w:t>
      </w:r>
      <w:r w:rsidR="004F1C8F" w:rsidRPr="004F6240">
        <w:rPr>
          <w:rFonts w:eastAsia="Times New Roman" w:cs="Times New Roman"/>
        </w:rPr>
        <w:t xml:space="preserve"> planted forb</w:t>
      </w:r>
      <w:r w:rsidR="00401311">
        <w:rPr>
          <w:rFonts w:eastAsia="Times New Roman" w:cs="Times New Roman"/>
        </w:rPr>
        <w:t xml:space="preserve"> species and </w:t>
      </w:r>
      <w:proofErr w:type="gramStart"/>
      <w:r w:rsidR="00401311">
        <w:rPr>
          <w:rFonts w:eastAsia="Times New Roman" w:cs="Times New Roman"/>
        </w:rPr>
        <w:t>their</w:t>
      </w:r>
      <w:r w:rsidR="004F1C8F" w:rsidRPr="004F6240">
        <w:rPr>
          <w:rFonts w:eastAsia="Times New Roman" w:cs="Times New Roman"/>
        </w:rPr>
        <w:t xml:space="preserve">  individual</w:t>
      </w:r>
      <w:proofErr w:type="gramEnd"/>
      <w:r w:rsidR="004F1C8F" w:rsidRPr="004F6240">
        <w:rPr>
          <w:rFonts w:eastAsia="Times New Roman" w:cs="Times New Roman"/>
        </w:rPr>
        <w:t xml:space="preserve"> probability of detection</w:t>
      </w:r>
      <w:r w:rsidR="00300E5B" w:rsidRPr="004F6240">
        <w:rPr>
          <w:rFonts w:eastAsia="Times New Roman" w:cs="Times New Roman"/>
        </w:rPr>
        <w:t xml:space="preserve"> within a square meter test plot</w:t>
      </w:r>
      <w:r w:rsidR="004F1C8F" w:rsidRPr="004F6240">
        <w:rPr>
          <w:rFonts w:eastAsia="Times New Roman" w:cs="Times New Roman"/>
        </w:rPr>
        <w:t>.</w:t>
      </w:r>
    </w:p>
    <w:p w:rsidR="008D4377" w:rsidRPr="00706833" w:rsidRDefault="008D4377" w:rsidP="00CE72E9">
      <w:pPr>
        <w:rPr>
          <w:rFonts w:eastAsia="Times New Roman" w:cs="Times New Roman"/>
          <w:sz w:val="20"/>
          <w:szCs w:val="20"/>
        </w:rPr>
      </w:pPr>
      <w:proofErr w:type="gramStart"/>
      <w:r w:rsidRPr="004F6240">
        <w:rPr>
          <w:rFonts w:eastAsia="Times New Roman" w:cs="Times New Roman"/>
        </w:rPr>
        <w:t>Figure 5.</w:t>
      </w:r>
      <w:proofErr w:type="gramEnd"/>
      <w:r w:rsidRPr="004F6240">
        <w:rPr>
          <w:rFonts w:eastAsia="Times New Roman" w:cs="Times New Roman"/>
        </w:rPr>
        <w:t xml:space="preserve"> </w:t>
      </w:r>
      <w:proofErr w:type="gramStart"/>
      <w:r w:rsidRPr="004F6240">
        <w:rPr>
          <w:rFonts w:eastAsia="Times New Roman" w:cs="Times New Roman"/>
        </w:rPr>
        <w:t xml:space="preserve">Results of interseeding </w:t>
      </w:r>
      <w:r w:rsidR="00F670B3" w:rsidRPr="004F6240">
        <w:rPr>
          <w:rFonts w:eastAsia="Times New Roman" w:cs="Times New Roman"/>
        </w:rPr>
        <w:t>at Field 38 within the Register WPA in Towner County, North Dakota.</w:t>
      </w:r>
      <w:proofErr w:type="gramEnd"/>
      <w:r w:rsidR="00F670B3" w:rsidRPr="004F6240">
        <w:rPr>
          <w:rFonts w:eastAsia="Times New Roman" w:cs="Times New Roman"/>
        </w:rPr>
        <w:t xml:space="preserve"> The percent detection chance is a species chance of being detected within a 1m x1m monitoring plot located within the field. Note – this field was interseeded in .5 acre blocks and totaled about 7 acres interseeded within a 38 acre field.</w:t>
      </w:r>
    </w:p>
    <w:p w:rsidR="004F1C8F" w:rsidRDefault="00220147" w:rsidP="00CE72E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8D9CB3D" wp14:editId="6656B6EE">
            <wp:extent cx="5547360" cy="40264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9540" cy="4027994"/>
                    </a:xfrm>
                    <a:prstGeom prst="rect">
                      <a:avLst/>
                    </a:prstGeom>
                    <a:noFill/>
                  </pic:spPr>
                </pic:pic>
              </a:graphicData>
            </a:graphic>
          </wp:inline>
        </w:drawing>
      </w:r>
    </w:p>
    <w:p w:rsidR="00CE72E9" w:rsidRPr="00401311" w:rsidRDefault="00575659" w:rsidP="00E74A0C">
      <w:pPr>
        <w:rPr>
          <w:rFonts w:eastAsia="Times New Roman" w:cs="Times New Roman"/>
        </w:rPr>
      </w:pPr>
      <w:r>
        <w:rPr>
          <w:rFonts w:eastAsia="Times New Roman" w:cs="Times New Roman"/>
        </w:rPr>
        <w:t xml:space="preserve">Interpretation:  </w:t>
      </w:r>
      <w:r w:rsidR="004F1C8F" w:rsidRPr="00401311">
        <w:rPr>
          <w:rFonts w:eastAsia="Times New Roman" w:cs="Times New Roman"/>
        </w:rPr>
        <w:t>Of 11 interseeded forb</w:t>
      </w:r>
      <w:r w:rsidR="00F670B3" w:rsidRPr="00401311">
        <w:rPr>
          <w:rFonts w:eastAsia="Times New Roman" w:cs="Times New Roman"/>
        </w:rPr>
        <w:t xml:space="preserve"> species</w:t>
      </w:r>
      <w:r w:rsidR="004F1C8F" w:rsidRPr="00401311">
        <w:rPr>
          <w:rFonts w:eastAsia="Times New Roman" w:cs="Times New Roman"/>
        </w:rPr>
        <w:t xml:space="preserve">, only golden alexander, blue vervain and Lewis flax remained at very low detection levels.  All other planted forbs exceeded a 20% detection probability, and 5 species exhibited a greater than 50% detection </w:t>
      </w:r>
      <w:r w:rsidR="00F670B3" w:rsidRPr="00401311">
        <w:rPr>
          <w:rFonts w:eastAsia="Times New Roman" w:cs="Times New Roman"/>
        </w:rPr>
        <w:t>probability</w:t>
      </w:r>
      <w:r w:rsidR="004F1C8F" w:rsidRPr="00401311">
        <w:rPr>
          <w:rFonts w:eastAsia="Times New Roman" w:cs="Times New Roman"/>
        </w:rPr>
        <w:t xml:space="preserve">. </w:t>
      </w:r>
    </w:p>
    <w:p w:rsidR="00094878" w:rsidRPr="00401311" w:rsidRDefault="004F1C8F" w:rsidP="00E74A0C">
      <w:pPr>
        <w:rPr>
          <w:rFonts w:eastAsia="Times New Roman" w:cs="Times New Roman"/>
        </w:rPr>
      </w:pPr>
      <w:r w:rsidRPr="00401311">
        <w:rPr>
          <w:rFonts w:eastAsia="Times New Roman" w:cs="Times New Roman"/>
        </w:rPr>
        <w:t xml:space="preserve">In the fall of 2013, a fence was installed around </w:t>
      </w:r>
      <w:r w:rsidR="00F670B3" w:rsidRPr="00401311">
        <w:rPr>
          <w:rFonts w:eastAsia="Times New Roman" w:cs="Times New Roman"/>
        </w:rPr>
        <w:t>F</w:t>
      </w:r>
      <w:r w:rsidRPr="00401311">
        <w:rPr>
          <w:rFonts w:eastAsia="Times New Roman" w:cs="Times New Roman"/>
        </w:rPr>
        <w:t xml:space="preserve">ield 38, and cattle were allowed to graze the site during the fall of 2014. It is expected that cattle will likely </w:t>
      </w:r>
      <w:r w:rsidR="00094878" w:rsidRPr="00401311">
        <w:rPr>
          <w:rFonts w:eastAsia="Times New Roman" w:cs="Times New Roman"/>
        </w:rPr>
        <w:t xml:space="preserve">disperse </w:t>
      </w:r>
      <w:r w:rsidRPr="00401311">
        <w:rPr>
          <w:rFonts w:eastAsia="Times New Roman" w:cs="Times New Roman"/>
        </w:rPr>
        <w:t xml:space="preserve">seeds from many of these abundant forb </w:t>
      </w:r>
      <w:r w:rsidRPr="00401311">
        <w:rPr>
          <w:rFonts w:eastAsia="Times New Roman" w:cs="Times New Roman"/>
        </w:rPr>
        <w:lastRenderedPageBreak/>
        <w:t xml:space="preserve">species across the site, effectively causing a “seed rain” effect across the </w:t>
      </w:r>
      <w:r w:rsidR="00F670B3" w:rsidRPr="00401311">
        <w:rPr>
          <w:rFonts w:eastAsia="Times New Roman" w:cs="Times New Roman"/>
        </w:rPr>
        <w:t>entire field</w:t>
      </w:r>
      <w:r w:rsidRPr="00401311">
        <w:rPr>
          <w:rFonts w:eastAsia="Times New Roman" w:cs="Times New Roman"/>
        </w:rPr>
        <w:t xml:space="preserve"> which is ideal for promoting plant diversity</w:t>
      </w:r>
      <w:r w:rsidR="00094878" w:rsidRPr="00401311">
        <w:rPr>
          <w:rFonts w:eastAsia="Times New Roman" w:cs="Times New Roman"/>
        </w:rPr>
        <w:t xml:space="preserve"> here</w:t>
      </w:r>
      <w:r w:rsidRPr="00401311">
        <w:rPr>
          <w:rFonts w:eastAsia="Times New Roman" w:cs="Times New Roman"/>
        </w:rPr>
        <w:t>.</w:t>
      </w:r>
      <w:r w:rsidR="00094878" w:rsidRPr="00401311">
        <w:rPr>
          <w:rFonts w:eastAsia="Times New Roman" w:cs="Times New Roman"/>
        </w:rPr>
        <w:t xml:space="preserve"> In 2016, we established and monitored random sites across Fie</w:t>
      </w:r>
      <w:r w:rsidR="00F670B3" w:rsidRPr="00401311">
        <w:rPr>
          <w:rFonts w:eastAsia="Times New Roman" w:cs="Times New Roman"/>
        </w:rPr>
        <w:t>l</w:t>
      </w:r>
      <w:r w:rsidR="00094878" w:rsidRPr="00401311">
        <w:rPr>
          <w:rFonts w:eastAsia="Times New Roman" w:cs="Times New Roman"/>
        </w:rPr>
        <w:t xml:space="preserve">d 38 designed to monitor the rates at which interseeded species spread. </w:t>
      </w:r>
      <w:r w:rsidR="00ED57F9" w:rsidRPr="00401311">
        <w:rPr>
          <w:rFonts w:eastAsia="Times New Roman" w:cs="Times New Roman"/>
        </w:rPr>
        <w:t xml:space="preserve"> </w:t>
      </w:r>
    </w:p>
    <w:p w:rsidR="008D4377" w:rsidRPr="00401311" w:rsidRDefault="004F1C8F" w:rsidP="00E74A0C">
      <w:pPr>
        <w:rPr>
          <w:rFonts w:eastAsia="Times New Roman" w:cs="Times New Roman"/>
        </w:rPr>
      </w:pPr>
      <w:r w:rsidRPr="00401311">
        <w:rPr>
          <w:rFonts w:eastAsia="Times New Roman" w:cs="Times New Roman"/>
        </w:rPr>
        <w:t>What we’ve learned – interseeding</w:t>
      </w:r>
      <w:r w:rsidR="00706833" w:rsidRPr="00401311">
        <w:rPr>
          <w:rFonts w:eastAsia="Times New Roman" w:cs="Times New Roman"/>
        </w:rPr>
        <w:t xml:space="preserve"> forbs within an existing grass stand</w:t>
      </w:r>
      <w:r w:rsidRPr="00401311">
        <w:rPr>
          <w:rFonts w:eastAsia="Times New Roman" w:cs="Times New Roman"/>
        </w:rPr>
        <w:t xml:space="preserve"> can be an effective tool </w:t>
      </w:r>
      <w:r w:rsidR="00706833" w:rsidRPr="00401311">
        <w:rPr>
          <w:rFonts w:eastAsia="Times New Roman" w:cs="Times New Roman"/>
        </w:rPr>
        <w:t>for</w:t>
      </w:r>
      <w:r w:rsidRPr="00401311">
        <w:rPr>
          <w:rFonts w:eastAsia="Times New Roman" w:cs="Times New Roman"/>
        </w:rPr>
        <w:t xml:space="preserve"> increasing plant species richness at a particular site, and these results indicate positively that</w:t>
      </w:r>
      <w:r w:rsidR="00094878" w:rsidRPr="00401311">
        <w:rPr>
          <w:rFonts w:eastAsia="Times New Roman" w:cs="Times New Roman"/>
        </w:rPr>
        <w:t xml:space="preserve"> many of </w:t>
      </w:r>
      <w:r w:rsidRPr="00401311">
        <w:rPr>
          <w:rFonts w:eastAsia="Times New Roman" w:cs="Times New Roman"/>
        </w:rPr>
        <w:t xml:space="preserve">these species can increase and remain </w:t>
      </w:r>
      <w:r w:rsidR="00706833" w:rsidRPr="00401311">
        <w:rPr>
          <w:rFonts w:eastAsia="Times New Roman" w:cs="Times New Roman"/>
        </w:rPr>
        <w:t xml:space="preserve">abundant </w:t>
      </w:r>
      <w:r w:rsidRPr="00401311">
        <w:rPr>
          <w:rFonts w:eastAsia="Times New Roman" w:cs="Times New Roman"/>
        </w:rPr>
        <w:t>thru time.</w:t>
      </w:r>
      <w:r w:rsidR="00094878" w:rsidRPr="00401311">
        <w:t xml:space="preserve">  </w:t>
      </w:r>
      <w:r w:rsidR="00094878" w:rsidRPr="00401311">
        <w:rPr>
          <w:rFonts w:eastAsia="Times New Roman" w:cs="Times New Roman"/>
        </w:rPr>
        <w:t>Also, the presence and persistence of these forb species would indicate an improved site for invertebrates’ dependent upon nectar sources and it would be expected to see increased pollinator diversity.</w:t>
      </w:r>
      <w:r w:rsidRPr="00401311">
        <w:rPr>
          <w:rFonts w:eastAsia="Times New Roman" w:cs="Times New Roman"/>
        </w:rPr>
        <w:t xml:space="preserve">  </w:t>
      </w:r>
    </w:p>
    <w:p w:rsidR="00CE72E9" w:rsidRPr="00B852CE" w:rsidRDefault="00F670B3" w:rsidP="00F670B3">
      <w:pPr>
        <w:pStyle w:val="ListParagraph"/>
        <w:numPr>
          <w:ilvl w:val="0"/>
          <w:numId w:val="2"/>
        </w:numPr>
        <w:rPr>
          <w:rFonts w:eastAsia="Times New Roman" w:cs="Times New Roman"/>
          <w:u w:val="single"/>
        </w:rPr>
      </w:pPr>
      <w:r w:rsidRPr="00B852CE">
        <w:rPr>
          <w:rFonts w:eastAsia="Times New Roman" w:cs="Times New Roman"/>
          <w:u w:val="single"/>
        </w:rPr>
        <w:t xml:space="preserve">A slideshow presentation and accelerated level of monitoring </w:t>
      </w:r>
      <w:r w:rsidR="00682658">
        <w:rPr>
          <w:rFonts w:eastAsia="Times New Roman" w:cs="Times New Roman"/>
          <w:u w:val="single"/>
        </w:rPr>
        <w:t xml:space="preserve">of </w:t>
      </w:r>
      <w:r w:rsidRPr="00B852CE">
        <w:rPr>
          <w:rFonts w:eastAsia="Times New Roman" w:cs="Times New Roman"/>
          <w:u w:val="single"/>
        </w:rPr>
        <w:t>new</w:t>
      </w:r>
      <w:r w:rsidR="00682658">
        <w:rPr>
          <w:rFonts w:eastAsia="Times New Roman" w:cs="Times New Roman"/>
          <w:u w:val="single"/>
        </w:rPr>
        <w:t xml:space="preserve"> PR</w:t>
      </w:r>
      <w:r w:rsidRPr="00B852CE">
        <w:rPr>
          <w:rFonts w:eastAsia="Times New Roman" w:cs="Times New Roman"/>
          <w:u w:val="single"/>
        </w:rPr>
        <w:t xml:space="preserve"> stands with a management focus.</w:t>
      </w:r>
    </w:p>
    <w:p w:rsidR="00F670B3" w:rsidRDefault="00F670B3" w:rsidP="00F670B3">
      <w:pPr>
        <w:pStyle w:val="ListParagraph"/>
        <w:rPr>
          <w:rFonts w:eastAsia="Times New Roman" w:cs="Times New Roman"/>
        </w:rPr>
      </w:pPr>
    </w:p>
    <w:p w:rsidR="00EF1966" w:rsidRDefault="007D4556" w:rsidP="007D4556">
      <w:pPr>
        <w:pStyle w:val="ListParagraph"/>
        <w:ind w:left="0"/>
        <w:rPr>
          <w:rFonts w:eastAsia="Times New Roman" w:cs="Times New Roman"/>
        </w:rPr>
      </w:pPr>
      <w:r>
        <w:rPr>
          <w:rFonts w:eastAsia="Times New Roman" w:cs="Times New Roman"/>
        </w:rPr>
        <w:t>From this point forward in this document, please</w:t>
      </w:r>
      <w:r w:rsidR="00B852CE">
        <w:rPr>
          <w:rFonts w:eastAsia="Times New Roman" w:cs="Times New Roman"/>
        </w:rPr>
        <w:t xml:space="preserve"> see</w:t>
      </w:r>
      <w:r>
        <w:rPr>
          <w:rFonts w:eastAsia="Times New Roman" w:cs="Times New Roman"/>
        </w:rPr>
        <w:t xml:space="preserve"> the accompanying slideshow document which captures more details of further PR monitoring with a strong management focus. Also, we describe </w:t>
      </w:r>
      <w:r w:rsidR="00575659">
        <w:rPr>
          <w:rFonts w:eastAsia="Times New Roman" w:cs="Times New Roman"/>
        </w:rPr>
        <w:t>3</w:t>
      </w:r>
      <w:r>
        <w:rPr>
          <w:rFonts w:eastAsia="Times New Roman" w:cs="Times New Roman"/>
        </w:rPr>
        <w:t xml:space="preserve"> monitoring methods used</w:t>
      </w:r>
      <w:r w:rsidR="00B852CE">
        <w:rPr>
          <w:rFonts w:eastAsia="Times New Roman" w:cs="Times New Roman"/>
        </w:rPr>
        <w:t xml:space="preserve"> and </w:t>
      </w:r>
      <w:r>
        <w:rPr>
          <w:rFonts w:eastAsia="Times New Roman" w:cs="Times New Roman"/>
        </w:rPr>
        <w:t xml:space="preserve">designed to elucidate habitat management prescriptions and the plant species responses </w:t>
      </w:r>
      <w:r w:rsidR="00682658">
        <w:rPr>
          <w:rFonts w:eastAsia="Times New Roman" w:cs="Times New Roman"/>
        </w:rPr>
        <w:t>thru</w:t>
      </w:r>
      <w:r>
        <w:rPr>
          <w:rFonts w:eastAsia="Times New Roman" w:cs="Times New Roman"/>
        </w:rPr>
        <w:t xml:space="preserve"> time.</w:t>
      </w:r>
      <w:r w:rsidR="00B852CE">
        <w:rPr>
          <w:rFonts w:eastAsia="Times New Roman" w:cs="Times New Roman"/>
        </w:rPr>
        <w:t xml:space="preserve">  </w:t>
      </w:r>
      <w:r w:rsidR="00575659">
        <w:rPr>
          <w:rFonts w:eastAsia="Times New Roman" w:cs="Times New Roman"/>
        </w:rPr>
        <w:t>The 3 methods include the Belt Transec</w:t>
      </w:r>
      <w:r w:rsidR="000944F0">
        <w:rPr>
          <w:rFonts w:eastAsia="Times New Roman" w:cs="Times New Roman"/>
        </w:rPr>
        <w:t>t Method, the Daubenmire Method</w:t>
      </w:r>
      <w:r w:rsidR="00575659">
        <w:rPr>
          <w:rFonts w:eastAsia="Times New Roman" w:cs="Times New Roman"/>
        </w:rPr>
        <w:t xml:space="preserve"> and Braun-</w:t>
      </w:r>
      <w:proofErr w:type="spellStart"/>
      <w:r w:rsidR="00575659">
        <w:rPr>
          <w:rFonts w:eastAsia="Times New Roman" w:cs="Times New Roman"/>
        </w:rPr>
        <w:t>Blanquet</w:t>
      </w:r>
      <w:proofErr w:type="spellEnd"/>
      <w:r w:rsidR="00575659">
        <w:rPr>
          <w:rFonts w:eastAsia="Times New Roman" w:cs="Times New Roman"/>
        </w:rPr>
        <w:t xml:space="preserve"> “Releve” sampling</w:t>
      </w:r>
      <w:r w:rsidR="000944F0">
        <w:rPr>
          <w:rFonts w:eastAsia="Times New Roman" w:cs="Times New Roman"/>
        </w:rPr>
        <w:t xml:space="preserve">. </w:t>
      </w:r>
      <w:r w:rsidR="00575659">
        <w:rPr>
          <w:rFonts w:eastAsia="Times New Roman" w:cs="Times New Roman"/>
        </w:rPr>
        <w:t xml:space="preserve"> </w:t>
      </w:r>
      <w:r w:rsidR="000944F0">
        <w:rPr>
          <w:rFonts w:eastAsia="Times New Roman" w:cs="Times New Roman"/>
        </w:rPr>
        <w:t>E</w:t>
      </w:r>
      <w:r w:rsidR="00575659">
        <w:rPr>
          <w:rFonts w:eastAsia="Times New Roman" w:cs="Times New Roman"/>
        </w:rPr>
        <w:t>ach</w:t>
      </w:r>
      <w:r w:rsidR="000944F0">
        <w:rPr>
          <w:rFonts w:eastAsia="Times New Roman" w:cs="Times New Roman"/>
        </w:rPr>
        <w:t xml:space="preserve"> technique are easy to analyze, and provides </w:t>
      </w:r>
      <w:r w:rsidR="00575659">
        <w:rPr>
          <w:rFonts w:eastAsia="Times New Roman" w:cs="Times New Roman"/>
        </w:rPr>
        <w:t>managers specific trends related to individual species</w:t>
      </w:r>
      <w:r w:rsidR="000944F0">
        <w:rPr>
          <w:rFonts w:eastAsia="Times New Roman" w:cs="Times New Roman"/>
        </w:rPr>
        <w:t xml:space="preserve"> or landscape level</w:t>
      </w:r>
      <w:r w:rsidR="00575659">
        <w:rPr>
          <w:rFonts w:eastAsia="Times New Roman" w:cs="Times New Roman"/>
        </w:rPr>
        <w:t xml:space="preserve"> responses to management</w:t>
      </w:r>
      <w:r w:rsidR="000944F0">
        <w:rPr>
          <w:rFonts w:eastAsia="Times New Roman" w:cs="Times New Roman"/>
        </w:rPr>
        <w:t xml:space="preserve">. </w:t>
      </w:r>
    </w:p>
    <w:p w:rsidR="00EF1966" w:rsidRDefault="00EF1966" w:rsidP="007D4556">
      <w:pPr>
        <w:pStyle w:val="ListParagraph"/>
        <w:ind w:left="0"/>
        <w:rPr>
          <w:rFonts w:eastAsia="Times New Roman" w:cs="Times New Roman"/>
        </w:rPr>
      </w:pPr>
    </w:p>
    <w:p w:rsidR="001207CE" w:rsidRPr="00F670B3" w:rsidRDefault="001207CE" w:rsidP="007D4556">
      <w:pPr>
        <w:pStyle w:val="ListParagraph"/>
        <w:ind w:left="0"/>
        <w:rPr>
          <w:rFonts w:eastAsia="Times New Roman" w:cs="Times New Roman"/>
        </w:rPr>
      </w:pPr>
    </w:p>
    <w:sectPr w:rsidR="001207CE" w:rsidRPr="00F6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A80"/>
    <w:multiLevelType w:val="hybridMultilevel"/>
    <w:tmpl w:val="39643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312F4"/>
    <w:multiLevelType w:val="hybridMultilevel"/>
    <w:tmpl w:val="5F86F2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D5"/>
    <w:rsid w:val="00051CCF"/>
    <w:rsid w:val="00075DE4"/>
    <w:rsid w:val="000814BC"/>
    <w:rsid w:val="00086731"/>
    <w:rsid w:val="00086A17"/>
    <w:rsid w:val="000944F0"/>
    <w:rsid w:val="00094878"/>
    <w:rsid w:val="000965F8"/>
    <w:rsid w:val="001131A8"/>
    <w:rsid w:val="00115203"/>
    <w:rsid w:val="001207CE"/>
    <w:rsid w:val="001277C8"/>
    <w:rsid w:val="00155035"/>
    <w:rsid w:val="00156BC0"/>
    <w:rsid w:val="00181663"/>
    <w:rsid w:val="001F723E"/>
    <w:rsid w:val="00220147"/>
    <w:rsid w:val="00230C0C"/>
    <w:rsid w:val="002D4ADB"/>
    <w:rsid w:val="002D70AA"/>
    <w:rsid w:val="002E371D"/>
    <w:rsid w:val="00300E5B"/>
    <w:rsid w:val="00301BB6"/>
    <w:rsid w:val="003216A0"/>
    <w:rsid w:val="003277A5"/>
    <w:rsid w:val="00335AF3"/>
    <w:rsid w:val="0034116C"/>
    <w:rsid w:val="003721C5"/>
    <w:rsid w:val="003B31D3"/>
    <w:rsid w:val="003E46AA"/>
    <w:rsid w:val="00401311"/>
    <w:rsid w:val="004701DC"/>
    <w:rsid w:val="00487D93"/>
    <w:rsid w:val="004F1C8F"/>
    <w:rsid w:val="004F6240"/>
    <w:rsid w:val="0056409F"/>
    <w:rsid w:val="00575659"/>
    <w:rsid w:val="005D00BC"/>
    <w:rsid w:val="0060213B"/>
    <w:rsid w:val="006032A2"/>
    <w:rsid w:val="00615757"/>
    <w:rsid w:val="00624176"/>
    <w:rsid w:val="00643BAC"/>
    <w:rsid w:val="006475CD"/>
    <w:rsid w:val="00650C58"/>
    <w:rsid w:val="00653ACA"/>
    <w:rsid w:val="0067538A"/>
    <w:rsid w:val="00682658"/>
    <w:rsid w:val="006944BB"/>
    <w:rsid w:val="006C11BF"/>
    <w:rsid w:val="006D01AA"/>
    <w:rsid w:val="00706833"/>
    <w:rsid w:val="00733941"/>
    <w:rsid w:val="007B559C"/>
    <w:rsid w:val="007D4556"/>
    <w:rsid w:val="007E0FFF"/>
    <w:rsid w:val="007E40B9"/>
    <w:rsid w:val="0082233A"/>
    <w:rsid w:val="00846C52"/>
    <w:rsid w:val="0085311D"/>
    <w:rsid w:val="008C1CF4"/>
    <w:rsid w:val="008D4377"/>
    <w:rsid w:val="008E4F84"/>
    <w:rsid w:val="00916387"/>
    <w:rsid w:val="00955EBD"/>
    <w:rsid w:val="00982089"/>
    <w:rsid w:val="00990A0B"/>
    <w:rsid w:val="009C0E3D"/>
    <w:rsid w:val="009D5C02"/>
    <w:rsid w:val="00A145A0"/>
    <w:rsid w:val="00A54580"/>
    <w:rsid w:val="00A67904"/>
    <w:rsid w:val="00A701B9"/>
    <w:rsid w:val="00A864F1"/>
    <w:rsid w:val="00A9149F"/>
    <w:rsid w:val="00A92D24"/>
    <w:rsid w:val="00AA3D61"/>
    <w:rsid w:val="00AA51E8"/>
    <w:rsid w:val="00AD77F8"/>
    <w:rsid w:val="00AE371B"/>
    <w:rsid w:val="00B217BB"/>
    <w:rsid w:val="00B5643B"/>
    <w:rsid w:val="00B852CE"/>
    <w:rsid w:val="00C01B78"/>
    <w:rsid w:val="00C056D8"/>
    <w:rsid w:val="00C1664B"/>
    <w:rsid w:val="00C63B5F"/>
    <w:rsid w:val="00C64B41"/>
    <w:rsid w:val="00C84896"/>
    <w:rsid w:val="00CA4DCD"/>
    <w:rsid w:val="00CA5575"/>
    <w:rsid w:val="00CE21B1"/>
    <w:rsid w:val="00CE72E9"/>
    <w:rsid w:val="00D10949"/>
    <w:rsid w:val="00D14242"/>
    <w:rsid w:val="00D20F9A"/>
    <w:rsid w:val="00D61D8C"/>
    <w:rsid w:val="00D661B9"/>
    <w:rsid w:val="00D7293B"/>
    <w:rsid w:val="00DA40F5"/>
    <w:rsid w:val="00E33BA4"/>
    <w:rsid w:val="00E44B49"/>
    <w:rsid w:val="00E74A0C"/>
    <w:rsid w:val="00E7628F"/>
    <w:rsid w:val="00E835F7"/>
    <w:rsid w:val="00E91328"/>
    <w:rsid w:val="00EC0B8E"/>
    <w:rsid w:val="00ED57F9"/>
    <w:rsid w:val="00EE287B"/>
    <w:rsid w:val="00EE5053"/>
    <w:rsid w:val="00EF1966"/>
    <w:rsid w:val="00EF6A2D"/>
    <w:rsid w:val="00F02F0B"/>
    <w:rsid w:val="00F406B1"/>
    <w:rsid w:val="00F670B3"/>
    <w:rsid w:val="00F734E8"/>
    <w:rsid w:val="00F969E6"/>
    <w:rsid w:val="00FB10D5"/>
    <w:rsid w:val="00FB546B"/>
    <w:rsid w:val="00FC0501"/>
    <w:rsid w:val="00FC09A3"/>
    <w:rsid w:val="00FC5F79"/>
    <w:rsid w:val="00FE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D5"/>
    <w:rPr>
      <w:rFonts w:ascii="Tahoma" w:hAnsi="Tahoma" w:cs="Tahoma"/>
      <w:sz w:val="16"/>
      <w:szCs w:val="16"/>
    </w:rPr>
  </w:style>
  <w:style w:type="paragraph" w:styleId="NoSpacing">
    <w:name w:val="No Spacing"/>
    <w:uiPriority w:val="1"/>
    <w:qFormat/>
    <w:rsid w:val="00FB10D5"/>
    <w:pPr>
      <w:spacing w:after="0" w:line="240" w:lineRule="auto"/>
    </w:pPr>
  </w:style>
  <w:style w:type="paragraph" w:styleId="ListParagraph">
    <w:name w:val="List Paragraph"/>
    <w:basedOn w:val="Normal"/>
    <w:uiPriority w:val="34"/>
    <w:qFormat/>
    <w:rsid w:val="008E4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D5"/>
    <w:rPr>
      <w:rFonts w:ascii="Tahoma" w:hAnsi="Tahoma" w:cs="Tahoma"/>
      <w:sz w:val="16"/>
      <w:szCs w:val="16"/>
    </w:rPr>
  </w:style>
  <w:style w:type="paragraph" w:styleId="NoSpacing">
    <w:name w:val="No Spacing"/>
    <w:uiPriority w:val="1"/>
    <w:qFormat/>
    <w:rsid w:val="00FB10D5"/>
    <w:pPr>
      <w:spacing w:after="0" w:line="240" w:lineRule="auto"/>
    </w:pPr>
  </w:style>
  <w:style w:type="paragraph" w:styleId="ListParagraph">
    <w:name w:val="List Paragraph"/>
    <w:basedOn w:val="Normal"/>
    <w:uiPriority w:val="34"/>
    <w:qFormat/>
    <w:rsid w:val="008E4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800" b="1" i="0" baseline="0">
                <a:effectLst/>
              </a:rPr>
              <a:t>Vollrath WPA (45 ac.) Towner County, North Dakota. Site was fall burned in 2014 with an objective to control absinth wormwood which was succesful. However, the post burn vegetation response increased Kentucky bluegrass and native mesic prairie. </a:t>
            </a:r>
            <a:endParaRPr lang="en-US" sz="800">
              <a:effectLst/>
            </a:endParaRPr>
          </a:p>
        </c:rich>
      </c:tx>
      <c:layout>
        <c:manualLayout>
          <c:xMode val="edge"/>
          <c:yMode val="edge"/>
          <c:x val="0.11576015082379246"/>
          <c:y val="2.8099168677613296E-2"/>
        </c:manualLayout>
      </c:layout>
      <c:overlay val="0"/>
    </c:title>
    <c:autoTitleDeleted val="0"/>
    <c:plotArea>
      <c:layout>
        <c:manualLayout>
          <c:layoutTarget val="inner"/>
          <c:xMode val="edge"/>
          <c:yMode val="edge"/>
          <c:x val="0.14277733855532701"/>
          <c:y val="0.18319607024644669"/>
          <c:w val="0.7513520742293669"/>
          <c:h val="0.56778979756798365"/>
        </c:manualLayout>
      </c:layout>
      <c:barChart>
        <c:barDir val="col"/>
        <c:grouping val="clustered"/>
        <c:varyColors val="0"/>
        <c:ser>
          <c:idx val="0"/>
          <c:order val="0"/>
          <c:tx>
            <c:v>2008 Original Planting Mix</c:v>
          </c:tx>
          <c:spPr>
            <a:solidFill>
              <a:schemeClr val="tx1"/>
            </a:solidFill>
          </c:spPr>
          <c:invertIfNegative val="0"/>
          <c:cat>
            <c:strRef>
              <c:f>'[Chart in Microsoft Word]All Comparisons'!$A$20,'[Chart in Microsoft Word]All Comparisons'!$A$21,'[Chart in Microsoft Word]All Comparisons'!$A$23,'[Chart in Microsoft Word]All Comparisons'!$A$24,'[Chart in Microsoft Word]All Comparisons'!$A$26,'[Chart in Microsoft Word]All Comparisons'!$A$27,'[Chart in Microsoft Word]All Comparisons'!$A$28,'[Chart in Microsoft Word]All Comparisons'!$A$30,'[Chart in Microsoft Word]All Comparisons'!$A$35,'[Chart in Microsoft Word]All Comparisons'!$A$41,'[Chart in Microsoft Word]All Comparisons'!$A$42,'[Chart in Microsoft Word]All Comparisons'!$A$43,'[Chart in Microsoft Word]All Comparisons'!$A$45</c:f>
              <c:strCache>
                <c:ptCount val="13"/>
                <c:pt idx="0">
                  <c:v>Cool season natvies</c:v>
                </c:pt>
                <c:pt idx="1">
                  <c:v>Dry warm season natives</c:v>
                </c:pt>
                <c:pt idx="2">
                  <c:v>Moist warm season natives</c:v>
                </c:pt>
                <c:pt idx="3">
                  <c:v>Planted forbs</c:v>
                </c:pt>
                <c:pt idx="4">
                  <c:v>Kentucky bluegrass</c:v>
                </c:pt>
                <c:pt idx="5">
                  <c:v>50% KBG / 50% Natives</c:v>
                </c:pt>
                <c:pt idx="6">
                  <c:v>95% Natives, 5% KBG</c:v>
                </c:pt>
                <c:pt idx="7">
                  <c:v>50% S. brome / 50% Natives</c:v>
                </c:pt>
                <c:pt idx="8">
                  <c:v>Quackgrass</c:v>
                </c:pt>
                <c:pt idx="9">
                  <c:v>Canada thistle</c:v>
                </c:pt>
                <c:pt idx="10">
                  <c:v>Absinth wormwood</c:v>
                </c:pt>
                <c:pt idx="11">
                  <c:v>Sow thistle</c:v>
                </c:pt>
                <c:pt idx="12">
                  <c:v>Sweet clover</c:v>
                </c:pt>
              </c:strCache>
            </c:strRef>
          </c:cat>
          <c:val>
            <c:numRef>
              <c:f>'[Chart in Microsoft Word]All Comparisons'!$B$20,'[Chart in Microsoft Word]All Comparisons'!$B$21,'[Chart in Microsoft Word]All Comparisons'!$B$23,'[Chart in Microsoft Word]All Comparisons'!$B$24,'[Chart in Microsoft Word]All Comparisons'!$B$26,'[Chart in Microsoft Word]All Comparisons'!$B$27,'[Chart in Microsoft Word]All Comparisons'!$B$28,'[Chart in Microsoft Word]All Comparisons'!$B$30,'[Chart in Microsoft Word]All Comparisons'!$B$35,'[Chart in Microsoft Word]All Comparisons'!$B$41,'[Chart in Microsoft Word]All Comparisons'!$B$42,'[Chart in Microsoft Word]All Comparisons'!$B$43,'[Chart in Microsoft Word]All Comparisons'!$B$45</c:f>
              <c:numCache>
                <c:formatCode>General</c:formatCode>
                <c:ptCount val="13"/>
                <c:pt idx="0">
                  <c:v>35</c:v>
                </c:pt>
                <c:pt idx="1">
                  <c:v>15</c:v>
                </c:pt>
                <c:pt idx="2">
                  <c:v>26</c:v>
                </c:pt>
                <c:pt idx="3">
                  <c:v>25</c:v>
                </c:pt>
                <c:pt idx="4">
                  <c:v>0</c:v>
                </c:pt>
                <c:pt idx="5">
                  <c:v>0</c:v>
                </c:pt>
                <c:pt idx="6">
                  <c:v>0</c:v>
                </c:pt>
                <c:pt idx="7">
                  <c:v>0</c:v>
                </c:pt>
                <c:pt idx="8">
                  <c:v>0</c:v>
                </c:pt>
                <c:pt idx="9">
                  <c:v>0</c:v>
                </c:pt>
                <c:pt idx="10">
                  <c:v>0</c:v>
                </c:pt>
                <c:pt idx="11">
                  <c:v>0</c:v>
                </c:pt>
                <c:pt idx="12">
                  <c:v>0</c:v>
                </c:pt>
              </c:numCache>
            </c:numRef>
          </c:val>
        </c:ser>
        <c:ser>
          <c:idx val="1"/>
          <c:order val="1"/>
          <c:tx>
            <c:v>2011 - 4 yr evaluation - Daubenmire</c:v>
          </c:tx>
          <c:spPr>
            <a:solidFill>
              <a:srgbClr val="00B050"/>
            </a:solidFill>
          </c:spPr>
          <c:invertIfNegative val="0"/>
          <c:cat>
            <c:strRef>
              <c:f>'[Chart in Microsoft Word]All Comparisons'!$A$20,'[Chart in Microsoft Word]All Comparisons'!$A$21,'[Chart in Microsoft Word]All Comparisons'!$A$23,'[Chart in Microsoft Word]All Comparisons'!$A$24,'[Chart in Microsoft Word]All Comparisons'!$A$26,'[Chart in Microsoft Word]All Comparisons'!$A$27,'[Chart in Microsoft Word]All Comparisons'!$A$28,'[Chart in Microsoft Word]All Comparisons'!$A$30,'[Chart in Microsoft Word]All Comparisons'!$A$35,'[Chart in Microsoft Word]All Comparisons'!$A$41,'[Chart in Microsoft Word]All Comparisons'!$A$42,'[Chart in Microsoft Word]All Comparisons'!$A$43,'[Chart in Microsoft Word]All Comparisons'!$A$45</c:f>
              <c:strCache>
                <c:ptCount val="13"/>
                <c:pt idx="0">
                  <c:v>Cool season natvies</c:v>
                </c:pt>
                <c:pt idx="1">
                  <c:v>Dry warm season natives</c:v>
                </c:pt>
                <c:pt idx="2">
                  <c:v>Moist warm season natives</c:v>
                </c:pt>
                <c:pt idx="3">
                  <c:v>Planted forbs</c:v>
                </c:pt>
                <c:pt idx="4">
                  <c:v>Kentucky bluegrass</c:v>
                </c:pt>
                <c:pt idx="5">
                  <c:v>50% KBG / 50% Natives</c:v>
                </c:pt>
                <c:pt idx="6">
                  <c:v>95% Natives, 5% KBG</c:v>
                </c:pt>
                <c:pt idx="7">
                  <c:v>50% S. brome / 50% Natives</c:v>
                </c:pt>
                <c:pt idx="8">
                  <c:v>Quackgrass</c:v>
                </c:pt>
                <c:pt idx="9">
                  <c:v>Canada thistle</c:v>
                </c:pt>
                <c:pt idx="10">
                  <c:v>Absinth wormwood</c:v>
                </c:pt>
                <c:pt idx="11">
                  <c:v>Sow thistle</c:v>
                </c:pt>
                <c:pt idx="12">
                  <c:v>Sweet clover</c:v>
                </c:pt>
              </c:strCache>
            </c:strRef>
          </c:cat>
          <c:val>
            <c:numRef>
              <c:f>'[Chart in Microsoft Word]All Comparisons'!$C$20,'[Chart in Microsoft Word]All Comparisons'!$C$21,'[Chart in Microsoft Word]All Comparisons'!$C$23,'[Chart in Microsoft Word]All Comparisons'!$C$24,'[Chart in Microsoft Word]All Comparisons'!$C$26,'[Chart in Microsoft Word]All Comparisons'!$C$27,'[Chart in Microsoft Word]All Comparisons'!$C$28,'[Chart in Microsoft Word]All Comparisons'!$C$30,'[Chart in Microsoft Word]All Comparisons'!$C$35,'[Chart in Microsoft Word]All Comparisons'!$C$41,'[Chart in Microsoft Word]All Comparisons'!$C$42,'[Chart in Microsoft Word]All Comparisons'!$C$43,'[Chart in Microsoft Word]All Comparisons'!$C$45</c:f>
              <c:numCache>
                <c:formatCode>General</c:formatCode>
                <c:ptCount val="13"/>
                <c:pt idx="0">
                  <c:v>9</c:v>
                </c:pt>
                <c:pt idx="1">
                  <c:v>7</c:v>
                </c:pt>
                <c:pt idx="2">
                  <c:v>12</c:v>
                </c:pt>
                <c:pt idx="3">
                  <c:v>14</c:v>
                </c:pt>
                <c:pt idx="4">
                  <c:v>1</c:v>
                </c:pt>
                <c:pt idx="5">
                  <c:v>0</c:v>
                </c:pt>
                <c:pt idx="6">
                  <c:v>0</c:v>
                </c:pt>
                <c:pt idx="7">
                  <c:v>0</c:v>
                </c:pt>
                <c:pt idx="8">
                  <c:v>0</c:v>
                </c:pt>
                <c:pt idx="9">
                  <c:v>1</c:v>
                </c:pt>
                <c:pt idx="10">
                  <c:v>6</c:v>
                </c:pt>
                <c:pt idx="11">
                  <c:v>5</c:v>
                </c:pt>
                <c:pt idx="12">
                  <c:v>4</c:v>
                </c:pt>
              </c:numCache>
            </c:numRef>
          </c:val>
        </c:ser>
        <c:ser>
          <c:idx val="2"/>
          <c:order val="2"/>
          <c:tx>
            <c:v>2013 - Pre Burn - Belt Transect</c:v>
          </c:tx>
          <c:invertIfNegative val="0"/>
          <c:cat>
            <c:strRef>
              <c:f>'[Chart in Microsoft Word]All Comparisons'!$A$20,'[Chart in Microsoft Word]All Comparisons'!$A$21,'[Chart in Microsoft Word]All Comparisons'!$A$23,'[Chart in Microsoft Word]All Comparisons'!$A$24,'[Chart in Microsoft Word]All Comparisons'!$A$26,'[Chart in Microsoft Word]All Comparisons'!$A$27,'[Chart in Microsoft Word]All Comparisons'!$A$28,'[Chart in Microsoft Word]All Comparisons'!$A$30,'[Chart in Microsoft Word]All Comparisons'!$A$35,'[Chart in Microsoft Word]All Comparisons'!$A$41,'[Chart in Microsoft Word]All Comparisons'!$A$42,'[Chart in Microsoft Word]All Comparisons'!$A$43,'[Chart in Microsoft Word]All Comparisons'!$A$45</c:f>
              <c:strCache>
                <c:ptCount val="13"/>
                <c:pt idx="0">
                  <c:v>Cool season natvies</c:v>
                </c:pt>
                <c:pt idx="1">
                  <c:v>Dry warm season natives</c:v>
                </c:pt>
                <c:pt idx="2">
                  <c:v>Moist warm season natives</c:v>
                </c:pt>
                <c:pt idx="3">
                  <c:v>Planted forbs</c:v>
                </c:pt>
                <c:pt idx="4">
                  <c:v>Kentucky bluegrass</c:v>
                </c:pt>
                <c:pt idx="5">
                  <c:v>50% KBG / 50% Natives</c:v>
                </c:pt>
                <c:pt idx="6">
                  <c:v>95% Natives, 5% KBG</c:v>
                </c:pt>
                <c:pt idx="7">
                  <c:v>50% S. brome / 50% Natives</c:v>
                </c:pt>
                <c:pt idx="8">
                  <c:v>Quackgrass</c:v>
                </c:pt>
                <c:pt idx="9">
                  <c:v>Canada thistle</c:v>
                </c:pt>
                <c:pt idx="10">
                  <c:v>Absinth wormwood</c:v>
                </c:pt>
                <c:pt idx="11">
                  <c:v>Sow thistle</c:v>
                </c:pt>
                <c:pt idx="12">
                  <c:v>Sweet clover</c:v>
                </c:pt>
              </c:strCache>
            </c:strRef>
          </c:cat>
          <c:val>
            <c:numRef>
              <c:f>'[Chart in Microsoft Word]All Comparisons'!$D$20,'[Chart in Microsoft Word]All Comparisons'!$D$21,'[Chart in Microsoft Word]All Comparisons'!$D$23,'[Chart in Microsoft Word]All Comparisons'!$D$24,'[Chart in Microsoft Word]All Comparisons'!$D$26,'[Chart in Microsoft Word]All Comparisons'!$D$27,'[Chart in Microsoft Word]All Comparisons'!$D$28,'[Chart in Microsoft Word]All Comparisons'!$D$30,'[Chart in Microsoft Word]All Comparisons'!$D$35,'[Chart in Microsoft Word]All Comparisons'!$D$41,'[Chart in Microsoft Word]All Comparisons'!$D$42,'[Chart in Microsoft Word]All Comparisons'!$D$43,'[Chart in Microsoft Word]All Comparisons'!$D$45</c:f>
              <c:numCache>
                <c:formatCode>General</c:formatCode>
                <c:ptCount val="13"/>
                <c:pt idx="0">
                  <c:v>4.2</c:v>
                </c:pt>
                <c:pt idx="1">
                  <c:v>17.2</c:v>
                </c:pt>
                <c:pt idx="2">
                  <c:v>22.8</c:v>
                </c:pt>
                <c:pt idx="3">
                  <c:v>20.6</c:v>
                </c:pt>
                <c:pt idx="4">
                  <c:v>1.4000000000000001</c:v>
                </c:pt>
                <c:pt idx="5">
                  <c:v>1.2</c:v>
                </c:pt>
                <c:pt idx="6">
                  <c:v>1.4</c:v>
                </c:pt>
                <c:pt idx="7">
                  <c:v>1.6</c:v>
                </c:pt>
                <c:pt idx="8">
                  <c:v>10.4</c:v>
                </c:pt>
                <c:pt idx="9">
                  <c:v>2.4</c:v>
                </c:pt>
                <c:pt idx="10">
                  <c:v>2.4</c:v>
                </c:pt>
                <c:pt idx="11">
                  <c:v>4.5999999999999996</c:v>
                </c:pt>
                <c:pt idx="12">
                  <c:v>5.4</c:v>
                </c:pt>
              </c:numCache>
            </c:numRef>
          </c:val>
        </c:ser>
        <c:ser>
          <c:idx val="3"/>
          <c:order val="3"/>
          <c:tx>
            <c:v>2015 - Post Burn evaluation - Belt Transect</c:v>
          </c:tx>
          <c:spPr>
            <a:solidFill>
              <a:srgbClr val="C00000"/>
            </a:solidFill>
          </c:spPr>
          <c:invertIfNegative val="0"/>
          <c:cat>
            <c:strRef>
              <c:f>'[Chart in Microsoft Word]All Comparisons'!$A$20,'[Chart in Microsoft Word]All Comparisons'!$A$21,'[Chart in Microsoft Word]All Comparisons'!$A$23,'[Chart in Microsoft Word]All Comparisons'!$A$24,'[Chart in Microsoft Word]All Comparisons'!$A$26,'[Chart in Microsoft Word]All Comparisons'!$A$27,'[Chart in Microsoft Word]All Comparisons'!$A$28,'[Chart in Microsoft Word]All Comparisons'!$A$30,'[Chart in Microsoft Word]All Comparisons'!$A$35,'[Chart in Microsoft Word]All Comparisons'!$A$41,'[Chart in Microsoft Word]All Comparisons'!$A$42,'[Chart in Microsoft Word]All Comparisons'!$A$43,'[Chart in Microsoft Word]All Comparisons'!$A$45</c:f>
              <c:strCache>
                <c:ptCount val="13"/>
                <c:pt idx="0">
                  <c:v>Cool season natvies</c:v>
                </c:pt>
                <c:pt idx="1">
                  <c:v>Dry warm season natives</c:v>
                </c:pt>
                <c:pt idx="2">
                  <c:v>Moist warm season natives</c:v>
                </c:pt>
                <c:pt idx="3">
                  <c:v>Planted forbs</c:v>
                </c:pt>
                <c:pt idx="4">
                  <c:v>Kentucky bluegrass</c:v>
                </c:pt>
                <c:pt idx="5">
                  <c:v>50% KBG / 50% Natives</c:v>
                </c:pt>
                <c:pt idx="6">
                  <c:v>95% Natives, 5% KBG</c:v>
                </c:pt>
                <c:pt idx="7">
                  <c:v>50% S. brome / 50% Natives</c:v>
                </c:pt>
                <c:pt idx="8">
                  <c:v>Quackgrass</c:v>
                </c:pt>
                <c:pt idx="9">
                  <c:v>Canada thistle</c:v>
                </c:pt>
                <c:pt idx="10">
                  <c:v>Absinth wormwood</c:v>
                </c:pt>
                <c:pt idx="11">
                  <c:v>Sow thistle</c:v>
                </c:pt>
                <c:pt idx="12">
                  <c:v>Sweet clover</c:v>
                </c:pt>
              </c:strCache>
            </c:strRef>
          </c:cat>
          <c:val>
            <c:numRef>
              <c:f>'[Chart in Microsoft Word]All Comparisons'!$E$20,'[Chart in Microsoft Word]All Comparisons'!$E$21,'[Chart in Microsoft Word]All Comparisons'!$E$23,'[Chart in Microsoft Word]All Comparisons'!$E$24,'[Chart in Microsoft Word]All Comparisons'!$E$26,'[Chart in Microsoft Word]All Comparisons'!$E$27,'[Chart in Microsoft Word]All Comparisons'!$E$28,'[Chart in Microsoft Word]All Comparisons'!$E$30,'[Chart in Microsoft Word]All Comparisons'!$E$35,'[Chart in Microsoft Word]All Comparisons'!$E$41,'[Chart in Microsoft Word]All Comparisons'!$E$42,'[Chart in Microsoft Word]All Comparisons'!$E$43,'[Chart in Microsoft Word]All Comparisons'!$E$45</c:f>
              <c:numCache>
                <c:formatCode>General</c:formatCode>
                <c:ptCount val="13"/>
                <c:pt idx="0">
                  <c:v>1.8</c:v>
                </c:pt>
                <c:pt idx="1">
                  <c:v>1.8</c:v>
                </c:pt>
                <c:pt idx="2">
                  <c:v>41.2</c:v>
                </c:pt>
                <c:pt idx="3">
                  <c:v>0.2</c:v>
                </c:pt>
                <c:pt idx="4">
                  <c:v>8.1999999999999993</c:v>
                </c:pt>
                <c:pt idx="5">
                  <c:v>5.8</c:v>
                </c:pt>
                <c:pt idx="6">
                  <c:v>14</c:v>
                </c:pt>
                <c:pt idx="7">
                  <c:v>0.2</c:v>
                </c:pt>
                <c:pt idx="8">
                  <c:v>10</c:v>
                </c:pt>
                <c:pt idx="9">
                  <c:v>0</c:v>
                </c:pt>
                <c:pt idx="10">
                  <c:v>0</c:v>
                </c:pt>
                <c:pt idx="11">
                  <c:v>1.2</c:v>
                </c:pt>
                <c:pt idx="12">
                  <c:v>12.2</c:v>
                </c:pt>
              </c:numCache>
            </c:numRef>
          </c:val>
        </c:ser>
        <c:dLbls>
          <c:showLegendKey val="0"/>
          <c:showVal val="0"/>
          <c:showCatName val="0"/>
          <c:showSerName val="0"/>
          <c:showPercent val="0"/>
          <c:showBubbleSize val="0"/>
        </c:dLbls>
        <c:gapWidth val="150"/>
        <c:axId val="121248768"/>
        <c:axId val="121357440"/>
      </c:barChart>
      <c:catAx>
        <c:axId val="121248768"/>
        <c:scaling>
          <c:orientation val="minMax"/>
        </c:scaling>
        <c:delete val="0"/>
        <c:axPos val="b"/>
        <c:majorTickMark val="out"/>
        <c:minorTickMark val="none"/>
        <c:tickLblPos val="nextTo"/>
        <c:txPr>
          <a:bodyPr/>
          <a:lstStyle/>
          <a:p>
            <a:pPr>
              <a:defRPr sz="800"/>
            </a:pPr>
            <a:endParaRPr lang="en-US"/>
          </a:p>
        </c:txPr>
        <c:crossAx val="121357440"/>
        <c:crosses val="autoZero"/>
        <c:auto val="1"/>
        <c:lblAlgn val="ctr"/>
        <c:lblOffset val="100"/>
        <c:noMultiLvlLbl val="0"/>
      </c:catAx>
      <c:valAx>
        <c:axId val="121357440"/>
        <c:scaling>
          <c:orientation val="minMax"/>
        </c:scaling>
        <c:delete val="0"/>
        <c:axPos val="l"/>
        <c:majorGridlines/>
        <c:title>
          <c:tx>
            <c:rich>
              <a:bodyPr rot="0" vert="horz"/>
              <a:lstStyle/>
              <a:p>
                <a:pPr>
                  <a:defRPr sz="800"/>
                </a:pPr>
                <a:r>
                  <a:rPr lang="en-US" sz="800"/>
                  <a:t>% Cover</a:t>
                </a:r>
              </a:p>
            </c:rich>
          </c:tx>
          <c:layout>
            <c:manualLayout>
              <c:xMode val="edge"/>
              <c:yMode val="edge"/>
              <c:x val="3.5793524124467402E-2"/>
              <c:y val="0.38372420186560779"/>
            </c:manualLayout>
          </c:layout>
          <c:overlay val="0"/>
        </c:title>
        <c:numFmt formatCode="General" sourceLinked="1"/>
        <c:majorTickMark val="out"/>
        <c:minorTickMark val="none"/>
        <c:tickLblPos val="nextTo"/>
        <c:crossAx val="121248768"/>
        <c:crosses val="autoZero"/>
        <c:crossBetween val="between"/>
      </c:valAx>
    </c:plotArea>
    <c:legend>
      <c:legendPos val="r"/>
      <c:layout>
        <c:manualLayout>
          <c:xMode val="edge"/>
          <c:yMode val="edge"/>
          <c:x val="0.46560723422826966"/>
          <c:y val="0.18178336794718242"/>
          <c:w val="0.43012913046385487"/>
          <c:h val="0.15317062322516947"/>
        </c:manualLayout>
      </c:layout>
      <c:overlay val="0"/>
      <c:spPr>
        <a:solidFill>
          <a:schemeClr val="accent1">
            <a:lumMod val="20000"/>
            <a:lumOff val="80000"/>
          </a:schemeClr>
        </a:solidFill>
      </c:spPr>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effectLst/>
              </a:rPr>
              <a:t>Register WPA, </a:t>
            </a:r>
            <a:r>
              <a:rPr lang="en-US" sz="1400" b="1" i="0" u="sng" baseline="0">
                <a:effectLst/>
              </a:rPr>
              <a:t>2006 - 2015 </a:t>
            </a:r>
            <a:r>
              <a:rPr lang="en-US" sz="1400" b="1" i="0" baseline="0">
                <a:effectLst/>
              </a:rPr>
              <a:t>- Prairie Reconstruction - 155 acres - Towner County, North Dakota</a:t>
            </a:r>
            <a:endParaRPr lang="en-US" sz="1400"/>
          </a:p>
        </c:rich>
      </c:tx>
      <c:layout>
        <c:manualLayout>
          <c:xMode val="edge"/>
          <c:yMode val="edge"/>
          <c:x val="9.6014212846035771E-2"/>
          <c:y val="2.2427808504660304E-2"/>
        </c:manualLayout>
      </c:layout>
      <c:overlay val="0"/>
    </c:title>
    <c:autoTitleDeleted val="0"/>
    <c:plotArea>
      <c:layout/>
      <c:barChart>
        <c:barDir val="col"/>
        <c:grouping val="clustered"/>
        <c:varyColors val="0"/>
        <c:ser>
          <c:idx val="0"/>
          <c:order val="0"/>
          <c:tx>
            <c:v>Original Mix</c:v>
          </c:tx>
          <c:spPr>
            <a:solidFill>
              <a:srgbClr val="00B0F0"/>
            </a:solidFill>
            <a:ln>
              <a:solidFill>
                <a:srgbClr val="00B0F0"/>
              </a:solidFill>
            </a:ln>
          </c:spPr>
          <c:invertIfNegative val="0"/>
          <c:cat>
            <c:strRef>
              <c:f>('Summary Sheet Example'!$T$22:$T$25,'Summary Sheet Example'!$T$30,'Summary Sheet Example'!$T$31,'Summary Sheet Example'!$T$32,'Summary Sheet Example'!$T$40,'Summary Sheet Example'!$T$42,'Summary Sheet Example'!$T$44,'Summary Sheet Example'!$T$46)</c:f>
              <c:strCache>
                <c:ptCount val="11"/>
                <c:pt idx="0">
                  <c:v>dry cool season prairie</c:v>
                </c:pt>
                <c:pt idx="1">
                  <c:v>dry warm season prairie</c:v>
                </c:pt>
                <c:pt idx="2">
                  <c:v>mesic prairie</c:v>
                </c:pt>
                <c:pt idx="3">
                  <c:v>Forbs</c:v>
                </c:pt>
                <c:pt idx="4">
                  <c:v>smooth brome</c:v>
                </c:pt>
                <c:pt idx="5">
                  <c:v>brome/natives</c:v>
                </c:pt>
                <c:pt idx="6">
                  <c:v>natives/brome</c:v>
                </c:pt>
                <c:pt idx="7">
                  <c:v>tall, interm, or pub wheatgrass</c:v>
                </c:pt>
                <c:pt idx="8">
                  <c:v>Canada thistle</c:v>
                </c:pt>
                <c:pt idx="9">
                  <c:v>other noxious weed</c:v>
                </c:pt>
                <c:pt idx="10">
                  <c:v>sweet clover, alfalfa</c:v>
                </c:pt>
              </c:strCache>
            </c:strRef>
          </c:cat>
          <c:val>
            <c:numRef>
              <c:f>('Summary Sheet Example'!$U$22:$U$25,'Summary Sheet Example'!$U$30,'Summary Sheet Example'!$U$31,'Summary Sheet Example'!$U$32,'Summary Sheet Example'!$U$40,'Summary Sheet Example'!$U$42,'Summary Sheet Example'!$U$44,'Summary Sheet Example'!$U$46)</c:f>
              <c:numCache>
                <c:formatCode>General</c:formatCode>
                <c:ptCount val="11"/>
                <c:pt idx="0">
                  <c:v>30</c:v>
                </c:pt>
                <c:pt idx="1">
                  <c:v>14</c:v>
                </c:pt>
                <c:pt idx="2">
                  <c:v>26</c:v>
                </c:pt>
                <c:pt idx="3">
                  <c:v>30</c:v>
                </c:pt>
                <c:pt idx="4">
                  <c:v>0</c:v>
                </c:pt>
                <c:pt idx="5">
                  <c:v>0</c:v>
                </c:pt>
                <c:pt idx="6">
                  <c:v>0</c:v>
                </c:pt>
                <c:pt idx="7">
                  <c:v>0</c:v>
                </c:pt>
                <c:pt idx="8">
                  <c:v>0</c:v>
                </c:pt>
                <c:pt idx="9">
                  <c:v>0</c:v>
                </c:pt>
                <c:pt idx="10">
                  <c:v>0</c:v>
                </c:pt>
              </c:numCache>
            </c:numRef>
          </c:val>
        </c:ser>
        <c:ser>
          <c:idx val="1"/>
          <c:order val="1"/>
          <c:tx>
            <c:v>2008 Daubenmire</c:v>
          </c:tx>
          <c:spPr>
            <a:solidFill>
              <a:srgbClr val="FF0000"/>
            </a:solidFill>
          </c:spPr>
          <c:invertIfNegative val="0"/>
          <c:cat>
            <c:strRef>
              <c:f>('Summary Sheet Example'!$T$22:$T$25,'Summary Sheet Example'!$T$30,'Summary Sheet Example'!$T$31,'Summary Sheet Example'!$T$32,'Summary Sheet Example'!$T$40,'Summary Sheet Example'!$T$42,'Summary Sheet Example'!$T$44,'Summary Sheet Example'!$T$46)</c:f>
              <c:strCache>
                <c:ptCount val="11"/>
                <c:pt idx="0">
                  <c:v>dry cool season prairie</c:v>
                </c:pt>
                <c:pt idx="1">
                  <c:v>dry warm season prairie</c:v>
                </c:pt>
                <c:pt idx="2">
                  <c:v>mesic prairie</c:v>
                </c:pt>
                <c:pt idx="3">
                  <c:v>Forbs</c:v>
                </c:pt>
                <c:pt idx="4">
                  <c:v>smooth brome</c:v>
                </c:pt>
                <c:pt idx="5">
                  <c:v>brome/natives</c:v>
                </c:pt>
                <c:pt idx="6">
                  <c:v>natives/brome</c:v>
                </c:pt>
                <c:pt idx="7">
                  <c:v>tall, interm, or pub wheatgrass</c:v>
                </c:pt>
                <c:pt idx="8">
                  <c:v>Canada thistle</c:v>
                </c:pt>
                <c:pt idx="9">
                  <c:v>other noxious weed</c:v>
                </c:pt>
                <c:pt idx="10">
                  <c:v>sweet clover, alfalfa</c:v>
                </c:pt>
              </c:strCache>
            </c:strRef>
          </c:cat>
          <c:val>
            <c:numRef>
              <c:f>('Summary Sheet Example'!$V$22:$V$25,'Summary Sheet Example'!$V$30,'Summary Sheet Example'!$V$31,'Summary Sheet Example'!$V$32,'Summary Sheet Example'!$V$40,'Summary Sheet Example'!$V$42,'Summary Sheet Example'!$V$44,'Summary Sheet Example'!$V$46)</c:f>
              <c:numCache>
                <c:formatCode>General</c:formatCode>
                <c:ptCount val="11"/>
                <c:pt idx="0">
                  <c:v>30</c:v>
                </c:pt>
                <c:pt idx="1">
                  <c:v>10</c:v>
                </c:pt>
                <c:pt idx="2">
                  <c:v>5</c:v>
                </c:pt>
                <c:pt idx="3">
                  <c:v>13</c:v>
                </c:pt>
                <c:pt idx="4">
                  <c:v>2</c:v>
                </c:pt>
                <c:pt idx="5">
                  <c:v>0</c:v>
                </c:pt>
                <c:pt idx="6">
                  <c:v>0</c:v>
                </c:pt>
                <c:pt idx="7">
                  <c:v>3</c:v>
                </c:pt>
                <c:pt idx="8">
                  <c:v>10</c:v>
                </c:pt>
                <c:pt idx="9">
                  <c:v>8</c:v>
                </c:pt>
                <c:pt idx="10">
                  <c:v>4</c:v>
                </c:pt>
              </c:numCache>
            </c:numRef>
          </c:val>
        </c:ser>
        <c:ser>
          <c:idx val="2"/>
          <c:order val="2"/>
          <c:tx>
            <c:v>2012 Belt Transect</c:v>
          </c:tx>
          <c:spPr>
            <a:solidFill>
              <a:srgbClr val="00B050"/>
            </a:solidFill>
          </c:spPr>
          <c:invertIfNegative val="0"/>
          <c:cat>
            <c:strRef>
              <c:f>('Summary Sheet Example'!$T$22:$T$25,'Summary Sheet Example'!$T$30,'Summary Sheet Example'!$T$31,'Summary Sheet Example'!$T$32,'Summary Sheet Example'!$T$40,'Summary Sheet Example'!$T$42,'Summary Sheet Example'!$T$44,'Summary Sheet Example'!$T$46)</c:f>
              <c:strCache>
                <c:ptCount val="11"/>
                <c:pt idx="0">
                  <c:v>dry cool season prairie</c:v>
                </c:pt>
                <c:pt idx="1">
                  <c:v>dry warm season prairie</c:v>
                </c:pt>
                <c:pt idx="2">
                  <c:v>mesic prairie</c:v>
                </c:pt>
                <c:pt idx="3">
                  <c:v>Forbs</c:v>
                </c:pt>
                <c:pt idx="4">
                  <c:v>smooth brome</c:v>
                </c:pt>
                <c:pt idx="5">
                  <c:v>brome/natives</c:v>
                </c:pt>
                <c:pt idx="6">
                  <c:v>natives/brome</c:v>
                </c:pt>
                <c:pt idx="7">
                  <c:v>tall, interm, or pub wheatgrass</c:v>
                </c:pt>
                <c:pt idx="8">
                  <c:v>Canada thistle</c:v>
                </c:pt>
                <c:pt idx="9">
                  <c:v>other noxious weed</c:v>
                </c:pt>
                <c:pt idx="10">
                  <c:v>sweet clover, alfalfa</c:v>
                </c:pt>
              </c:strCache>
            </c:strRef>
          </c:cat>
          <c:val>
            <c:numRef>
              <c:f>('Summary Sheet Example'!$W$22:$W$25,'Summary Sheet Example'!$W$30,'Summary Sheet Example'!$W$31,'Summary Sheet Example'!$W$32,'Summary Sheet Example'!$W$40,'Summary Sheet Example'!$W$42,'Summary Sheet Example'!$W$44,'Summary Sheet Example'!$W$46)</c:f>
              <c:numCache>
                <c:formatCode>0.0</c:formatCode>
                <c:ptCount val="11"/>
                <c:pt idx="0">
                  <c:v>18.363636363636363</c:v>
                </c:pt>
                <c:pt idx="1">
                  <c:v>2.9090909090909092</c:v>
                </c:pt>
                <c:pt idx="2">
                  <c:v>20.545454545454547</c:v>
                </c:pt>
                <c:pt idx="3">
                  <c:v>0</c:v>
                </c:pt>
                <c:pt idx="4">
                  <c:v>4.7272727272727275</c:v>
                </c:pt>
                <c:pt idx="5">
                  <c:v>12.363636363636363</c:v>
                </c:pt>
                <c:pt idx="6">
                  <c:v>15.454545454545455</c:v>
                </c:pt>
                <c:pt idx="7">
                  <c:v>3.8181818181818183</c:v>
                </c:pt>
                <c:pt idx="8">
                  <c:v>2.5454545454545454</c:v>
                </c:pt>
                <c:pt idx="9">
                  <c:v>1.0909090909090908</c:v>
                </c:pt>
                <c:pt idx="10">
                  <c:v>9.6363636363636367</c:v>
                </c:pt>
              </c:numCache>
            </c:numRef>
          </c:val>
        </c:ser>
        <c:ser>
          <c:idx val="3"/>
          <c:order val="3"/>
          <c:tx>
            <c:v>2015 Belt Transect</c:v>
          </c:tx>
          <c:spPr>
            <a:solidFill>
              <a:schemeClr val="tx1"/>
            </a:solidFill>
          </c:spPr>
          <c:invertIfNegative val="0"/>
          <c:cat>
            <c:strRef>
              <c:f>('Summary Sheet Example'!$T$22:$T$25,'Summary Sheet Example'!$T$30,'Summary Sheet Example'!$T$31,'Summary Sheet Example'!$T$32,'Summary Sheet Example'!$T$40,'Summary Sheet Example'!$T$42,'Summary Sheet Example'!$T$44,'Summary Sheet Example'!$T$46)</c:f>
              <c:strCache>
                <c:ptCount val="11"/>
                <c:pt idx="0">
                  <c:v>dry cool season prairie</c:v>
                </c:pt>
                <c:pt idx="1">
                  <c:v>dry warm season prairie</c:v>
                </c:pt>
                <c:pt idx="2">
                  <c:v>mesic prairie</c:v>
                </c:pt>
                <c:pt idx="3">
                  <c:v>Forbs</c:v>
                </c:pt>
                <c:pt idx="4">
                  <c:v>smooth brome</c:v>
                </c:pt>
                <c:pt idx="5">
                  <c:v>brome/natives</c:v>
                </c:pt>
                <c:pt idx="6">
                  <c:v>natives/brome</c:v>
                </c:pt>
                <c:pt idx="7">
                  <c:v>tall, interm, or pub wheatgrass</c:v>
                </c:pt>
                <c:pt idx="8">
                  <c:v>Canada thistle</c:v>
                </c:pt>
                <c:pt idx="9">
                  <c:v>other noxious weed</c:v>
                </c:pt>
                <c:pt idx="10">
                  <c:v>sweet clover, alfalfa</c:v>
                </c:pt>
              </c:strCache>
            </c:strRef>
          </c:cat>
          <c:val>
            <c:numRef>
              <c:f>('Summary Sheet Example'!$X$22:$X$25,'Summary Sheet Example'!$X$30,'Summary Sheet Example'!$X$31,'Summary Sheet Example'!$X$32,'Summary Sheet Example'!$X$40,'Summary Sheet Example'!$X$42,'Summary Sheet Example'!$X$44,'Summary Sheet Example'!$X$46)</c:f>
              <c:numCache>
                <c:formatCode>General</c:formatCode>
                <c:ptCount val="11"/>
                <c:pt idx="0">
                  <c:v>0.2</c:v>
                </c:pt>
                <c:pt idx="1">
                  <c:v>6</c:v>
                </c:pt>
                <c:pt idx="2">
                  <c:v>39.4</c:v>
                </c:pt>
                <c:pt idx="3">
                  <c:v>1.4</c:v>
                </c:pt>
                <c:pt idx="4">
                  <c:v>18.2</c:v>
                </c:pt>
                <c:pt idx="5">
                  <c:v>8.1999999999999993</c:v>
                </c:pt>
                <c:pt idx="6">
                  <c:v>4.4000000000000004</c:v>
                </c:pt>
                <c:pt idx="7">
                  <c:v>3</c:v>
                </c:pt>
                <c:pt idx="8">
                  <c:v>0.2</c:v>
                </c:pt>
                <c:pt idx="9">
                  <c:v>0</c:v>
                </c:pt>
                <c:pt idx="10">
                  <c:v>4.4000000000000004</c:v>
                </c:pt>
              </c:numCache>
            </c:numRef>
          </c:val>
        </c:ser>
        <c:dLbls>
          <c:showLegendKey val="0"/>
          <c:showVal val="0"/>
          <c:showCatName val="0"/>
          <c:showSerName val="0"/>
          <c:showPercent val="0"/>
          <c:showBubbleSize val="0"/>
        </c:dLbls>
        <c:gapWidth val="150"/>
        <c:axId val="125534208"/>
        <c:axId val="125535744"/>
      </c:barChart>
      <c:catAx>
        <c:axId val="125534208"/>
        <c:scaling>
          <c:orientation val="minMax"/>
        </c:scaling>
        <c:delete val="0"/>
        <c:axPos val="b"/>
        <c:majorTickMark val="out"/>
        <c:minorTickMark val="none"/>
        <c:tickLblPos val="nextTo"/>
        <c:crossAx val="125535744"/>
        <c:crosses val="autoZero"/>
        <c:auto val="1"/>
        <c:lblAlgn val="ctr"/>
        <c:lblOffset val="100"/>
        <c:noMultiLvlLbl val="0"/>
      </c:catAx>
      <c:valAx>
        <c:axId val="125535744"/>
        <c:scaling>
          <c:orientation val="minMax"/>
        </c:scaling>
        <c:delete val="0"/>
        <c:axPos val="l"/>
        <c:majorGridlines/>
        <c:numFmt formatCode="General" sourceLinked="1"/>
        <c:majorTickMark val="out"/>
        <c:minorTickMark val="none"/>
        <c:tickLblPos val="nextTo"/>
        <c:crossAx val="125534208"/>
        <c:crosses val="autoZero"/>
        <c:crossBetween val="between"/>
      </c:valAx>
      <c:spPr>
        <a:solidFill>
          <a:schemeClr val="accent6">
            <a:lumMod val="20000"/>
            <a:lumOff val="80000"/>
          </a:schemeClr>
        </a:solidFill>
      </c:spPr>
    </c:plotArea>
    <c:legend>
      <c:legendPos val="r"/>
      <c:layout>
        <c:manualLayout>
          <c:xMode val="edge"/>
          <c:yMode val="edge"/>
          <c:x val="0.56616377279763119"/>
          <c:y val="0.1680261203253281"/>
          <c:w val="0.23096574466653208"/>
          <c:h val="0.17117059407793403"/>
        </c:manualLayout>
      </c:layout>
      <c:overlay val="0"/>
      <c:spPr>
        <a:solidFill>
          <a:schemeClr val="accent1">
            <a:lumMod val="40000"/>
            <a:lumOff val="60000"/>
          </a:schemeClr>
        </a:solidFill>
      </c:spPr>
      <c:txPr>
        <a:bodyPr/>
        <a:lstStyle/>
        <a:p>
          <a:pPr>
            <a:defRPr sz="8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7E39-F2CB-47D0-B8A2-1A1CAECB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Mark</dc:creator>
  <cp:lastModifiedBy>Fisher, Mark</cp:lastModifiedBy>
  <cp:revision>2</cp:revision>
  <dcterms:created xsi:type="dcterms:W3CDTF">2017-02-21T20:31:00Z</dcterms:created>
  <dcterms:modified xsi:type="dcterms:W3CDTF">2017-02-21T20:31:00Z</dcterms:modified>
</cp:coreProperties>
</file>