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B7F76" w14:textId="77777777" w:rsidR="00485F92" w:rsidRPr="005C515F" w:rsidRDefault="00485F92" w:rsidP="00485F92">
      <w:pPr>
        <w:rPr>
          <w:smallCaps/>
        </w:rPr>
      </w:pPr>
      <w:bookmarkStart w:id="0" w:name="_GoBack"/>
      <w:bookmarkEnd w:id="0"/>
    </w:p>
    <w:p w14:paraId="0885C6E9" w14:textId="77777777" w:rsidR="00485F92" w:rsidRPr="005C515F" w:rsidRDefault="00485F92" w:rsidP="00485F92">
      <w:pPr>
        <w:rPr>
          <w:smallCaps/>
        </w:rPr>
      </w:pPr>
    </w:p>
    <w:p w14:paraId="0F2C81A2" w14:textId="77777777" w:rsidR="00485F92" w:rsidRPr="00FB00CA" w:rsidRDefault="00485F92" w:rsidP="00485F92">
      <w:pPr>
        <w:jc w:val="center"/>
        <w:rPr>
          <w:smallCaps/>
          <w:sz w:val="28"/>
        </w:rPr>
      </w:pPr>
      <w:r w:rsidRPr="00FB00CA">
        <w:rPr>
          <w:smallCaps/>
          <w:sz w:val="28"/>
        </w:rPr>
        <w:t>The Effect of Water-Level Drawdown</w:t>
      </w:r>
    </w:p>
    <w:p w14:paraId="3975E50A" w14:textId="77777777" w:rsidR="00485F92" w:rsidRPr="00FB00CA" w:rsidRDefault="00485F92" w:rsidP="00485F92">
      <w:pPr>
        <w:jc w:val="center"/>
        <w:rPr>
          <w:smallCaps/>
          <w:sz w:val="28"/>
        </w:rPr>
      </w:pPr>
      <w:r w:rsidRPr="00FB00CA">
        <w:rPr>
          <w:smallCaps/>
          <w:sz w:val="28"/>
        </w:rPr>
        <w:t>on Methylmercury Production and Bioaccumulation</w:t>
      </w:r>
    </w:p>
    <w:p w14:paraId="7AE08B84" w14:textId="77777777" w:rsidR="00485F92" w:rsidRPr="00FB00CA" w:rsidRDefault="00485F92" w:rsidP="00485F92">
      <w:pPr>
        <w:jc w:val="center"/>
        <w:rPr>
          <w:smallCaps/>
          <w:sz w:val="28"/>
        </w:rPr>
      </w:pPr>
      <w:r w:rsidRPr="00FB00CA">
        <w:rPr>
          <w:smallCaps/>
          <w:sz w:val="28"/>
        </w:rPr>
        <w:t>in the Agassiz Pool of the Agassiz National Wildlife Refuge</w:t>
      </w:r>
    </w:p>
    <w:p w14:paraId="135553D2" w14:textId="77777777" w:rsidR="00485F92" w:rsidRPr="005C515F" w:rsidRDefault="00485F92" w:rsidP="00485F92">
      <w:pPr>
        <w:jc w:val="center"/>
        <w:rPr>
          <w:smallCaps/>
        </w:rPr>
      </w:pPr>
    </w:p>
    <w:p w14:paraId="4B7D6559" w14:textId="77777777" w:rsidR="00485F92" w:rsidRPr="005C515F" w:rsidRDefault="00485F92" w:rsidP="00485F92">
      <w:pPr>
        <w:jc w:val="center"/>
        <w:rPr>
          <w:smallCaps/>
        </w:rPr>
      </w:pPr>
    </w:p>
    <w:p w14:paraId="24A5DACE" w14:textId="77777777" w:rsidR="00485F92" w:rsidRPr="005C515F" w:rsidRDefault="00485F92" w:rsidP="00485F92">
      <w:pPr>
        <w:jc w:val="center"/>
        <w:rPr>
          <w:smallCaps/>
        </w:rPr>
      </w:pPr>
    </w:p>
    <w:p w14:paraId="09C7D1A7" w14:textId="77777777" w:rsidR="00485F92" w:rsidRPr="005C515F" w:rsidRDefault="00485F92" w:rsidP="00485F92">
      <w:pPr>
        <w:jc w:val="center"/>
        <w:rPr>
          <w:smallCaps/>
        </w:rPr>
      </w:pPr>
    </w:p>
    <w:p w14:paraId="51C2ABB7" w14:textId="77777777" w:rsidR="00485F92" w:rsidRPr="00FB00CA" w:rsidRDefault="00485F92" w:rsidP="00485F92">
      <w:pPr>
        <w:jc w:val="center"/>
        <w:rPr>
          <w:b/>
        </w:rPr>
      </w:pPr>
      <w:r w:rsidRPr="00FB00CA">
        <w:rPr>
          <w:b/>
        </w:rPr>
        <w:t>Final Report to the U.S. Fish and Wildlife Service</w:t>
      </w:r>
    </w:p>
    <w:p w14:paraId="3442603A" w14:textId="77777777" w:rsidR="00485F92" w:rsidRPr="00744BE8" w:rsidRDefault="00485F92" w:rsidP="00485F92">
      <w:pPr>
        <w:jc w:val="center"/>
      </w:pPr>
    </w:p>
    <w:p w14:paraId="71725541" w14:textId="77777777" w:rsidR="00485F92" w:rsidRPr="00744BE8" w:rsidRDefault="00485F92" w:rsidP="00485F92">
      <w:pPr>
        <w:jc w:val="center"/>
      </w:pPr>
    </w:p>
    <w:p w14:paraId="4A3D83B1" w14:textId="77777777" w:rsidR="00485F92" w:rsidRPr="00FB00CA" w:rsidRDefault="00CF6E04" w:rsidP="00485F92">
      <w:pPr>
        <w:jc w:val="center"/>
        <w:rPr>
          <w:b/>
        </w:rPr>
      </w:pPr>
      <w:r>
        <w:rPr>
          <w:b/>
        </w:rPr>
        <w:t>March 22, 2014</w:t>
      </w:r>
    </w:p>
    <w:p w14:paraId="34F1F87D" w14:textId="77777777" w:rsidR="00485F92" w:rsidRPr="00744BE8" w:rsidRDefault="00485F92" w:rsidP="00485F92">
      <w:pPr>
        <w:jc w:val="center"/>
      </w:pPr>
    </w:p>
    <w:p w14:paraId="41D6AF6C" w14:textId="77777777" w:rsidR="00485F92" w:rsidRPr="00744BE8" w:rsidRDefault="00485F92" w:rsidP="00485F92">
      <w:pPr>
        <w:jc w:val="center"/>
      </w:pPr>
    </w:p>
    <w:p w14:paraId="64149E2B" w14:textId="77777777" w:rsidR="00485F92" w:rsidRPr="00744BE8" w:rsidRDefault="00485F92" w:rsidP="00485F92">
      <w:pPr>
        <w:jc w:val="center"/>
      </w:pPr>
    </w:p>
    <w:p w14:paraId="0604D2F5" w14:textId="77777777" w:rsidR="00485F92" w:rsidRPr="00744BE8" w:rsidRDefault="00485F92" w:rsidP="00485F92">
      <w:pPr>
        <w:jc w:val="center"/>
      </w:pPr>
    </w:p>
    <w:p w14:paraId="021DB3BC" w14:textId="77777777" w:rsidR="00485F92" w:rsidRPr="00FB00CA" w:rsidRDefault="00485F92" w:rsidP="00485F92">
      <w:pPr>
        <w:jc w:val="center"/>
        <w:rPr>
          <w:b/>
        </w:rPr>
      </w:pPr>
      <w:r w:rsidRPr="00FB00CA">
        <w:rPr>
          <w:b/>
        </w:rPr>
        <w:t>Daniel R. Engstrom</w:t>
      </w:r>
    </w:p>
    <w:p w14:paraId="4884E5A6" w14:textId="77777777" w:rsidR="00485F92" w:rsidRPr="00744BE8" w:rsidRDefault="00485F92" w:rsidP="00485F92">
      <w:pPr>
        <w:jc w:val="center"/>
      </w:pPr>
      <w:r w:rsidRPr="00744BE8">
        <w:t>St. Croix Watershed Research Station</w:t>
      </w:r>
    </w:p>
    <w:p w14:paraId="2D6AED8C" w14:textId="77777777" w:rsidR="00485F92" w:rsidRPr="00744BE8" w:rsidRDefault="00485F92" w:rsidP="00485F92">
      <w:pPr>
        <w:jc w:val="center"/>
      </w:pPr>
      <w:r w:rsidRPr="00744BE8">
        <w:t>Science Museum of Minnesota</w:t>
      </w:r>
    </w:p>
    <w:p w14:paraId="7A27CEF9" w14:textId="77777777" w:rsidR="00485F92" w:rsidRPr="00744BE8" w:rsidRDefault="00485F92" w:rsidP="00485F92">
      <w:pPr>
        <w:jc w:val="center"/>
      </w:pPr>
      <w:r w:rsidRPr="00744BE8">
        <w:t>Marine on St. Croix, MN 55108</w:t>
      </w:r>
    </w:p>
    <w:p w14:paraId="643C32B9" w14:textId="77777777" w:rsidR="00485F92" w:rsidRPr="00744BE8" w:rsidRDefault="00485F92" w:rsidP="00485F92">
      <w:pPr>
        <w:jc w:val="center"/>
      </w:pPr>
    </w:p>
    <w:p w14:paraId="7472BE3E" w14:textId="77777777" w:rsidR="00485F92" w:rsidRPr="00744BE8" w:rsidRDefault="00485F92" w:rsidP="00485F92">
      <w:pPr>
        <w:jc w:val="center"/>
      </w:pPr>
    </w:p>
    <w:p w14:paraId="70F944F6" w14:textId="77777777" w:rsidR="00485F92" w:rsidRPr="00744BE8" w:rsidRDefault="00485F92" w:rsidP="00485F92">
      <w:pPr>
        <w:jc w:val="center"/>
      </w:pPr>
      <w:r w:rsidRPr="00744BE8">
        <w:t>and</w:t>
      </w:r>
    </w:p>
    <w:p w14:paraId="25D775B3" w14:textId="77777777" w:rsidR="00485F92" w:rsidRPr="00744BE8" w:rsidRDefault="00485F92" w:rsidP="00485F92">
      <w:pPr>
        <w:jc w:val="center"/>
      </w:pPr>
    </w:p>
    <w:p w14:paraId="55CB0FE5" w14:textId="77777777" w:rsidR="00485F92" w:rsidRPr="00744BE8" w:rsidRDefault="00485F92" w:rsidP="00485F92">
      <w:pPr>
        <w:jc w:val="center"/>
      </w:pPr>
    </w:p>
    <w:p w14:paraId="6A2DA30C" w14:textId="77777777" w:rsidR="00485F92" w:rsidRPr="00FB00CA" w:rsidRDefault="00485F92" w:rsidP="00485F92">
      <w:pPr>
        <w:jc w:val="center"/>
        <w:rPr>
          <w:b/>
        </w:rPr>
      </w:pPr>
      <w:r w:rsidRPr="00FB00CA">
        <w:rPr>
          <w:b/>
        </w:rPr>
        <w:t>Kris</w:t>
      </w:r>
      <w:r w:rsidR="00563964">
        <w:rPr>
          <w:b/>
        </w:rPr>
        <w:t>tofer</w:t>
      </w:r>
      <w:r w:rsidRPr="00FB00CA">
        <w:rPr>
          <w:b/>
        </w:rPr>
        <w:t xml:space="preserve"> R. </w:t>
      </w:r>
      <w:proofErr w:type="spellStart"/>
      <w:r w:rsidRPr="00FB00CA">
        <w:rPr>
          <w:b/>
        </w:rPr>
        <w:t>Rolfhus</w:t>
      </w:r>
      <w:proofErr w:type="spellEnd"/>
    </w:p>
    <w:p w14:paraId="73D501E9" w14:textId="77777777" w:rsidR="00485F92" w:rsidRPr="00744BE8" w:rsidRDefault="00485F92" w:rsidP="00485F92">
      <w:pPr>
        <w:jc w:val="center"/>
      </w:pPr>
      <w:r w:rsidRPr="00744BE8">
        <w:t>Department of Chemistry</w:t>
      </w:r>
      <w:r w:rsidR="00563964">
        <w:t xml:space="preserve"> and Biochemistry</w:t>
      </w:r>
    </w:p>
    <w:p w14:paraId="4DB73FD4" w14:textId="77777777" w:rsidR="00485F92" w:rsidRPr="00744BE8" w:rsidRDefault="00485F92" w:rsidP="00485F92">
      <w:pPr>
        <w:jc w:val="center"/>
      </w:pPr>
      <w:r w:rsidRPr="00744BE8">
        <w:t>University of Wisconsin – La Crosse</w:t>
      </w:r>
    </w:p>
    <w:p w14:paraId="0A188F58" w14:textId="77777777" w:rsidR="00485F92" w:rsidRPr="00744BE8" w:rsidRDefault="00485F92" w:rsidP="00485F92">
      <w:pPr>
        <w:jc w:val="center"/>
      </w:pPr>
      <w:r w:rsidRPr="00744BE8">
        <w:t>La Crosse, WI 54601</w:t>
      </w:r>
    </w:p>
    <w:p w14:paraId="6B3FE8F3" w14:textId="77777777" w:rsidR="00485F92" w:rsidRPr="00744BE8" w:rsidRDefault="00485F92" w:rsidP="00485F92">
      <w:pPr>
        <w:jc w:val="center"/>
        <w:rPr>
          <w:b/>
        </w:rPr>
        <w:sectPr w:rsidR="00485F92" w:rsidRPr="00744BE8" w:rsidSect="00485F92">
          <w:footerReference w:type="even" r:id="rId7"/>
          <w:footerReference w:type="default" r:id="rId8"/>
          <w:pgSz w:w="12240" w:h="15840"/>
          <w:pgMar w:top="1440" w:right="1440" w:bottom="1440" w:left="1440" w:header="720" w:footer="720" w:gutter="0"/>
          <w:cols w:space="720"/>
          <w:titlePg/>
        </w:sectPr>
      </w:pPr>
    </w:p>
    <w:p w14:paraId="0DD8A525" w14:textId="77777777" w:rsidR="00B341F8" w:rsidRPr="00744BE8" w:rsidRDefault="00B341F8" w:rsidP="00B341F8">
      <w:pPr>
        <w:rPr>
          <w:b/>
        </w:rPr>
      </w:pPr>
      <w:r>
        <w:rPr>
          <w:b/>
        </w:rPr>
        <w:lastRenderedPageBreak/>
        <w:t>ABSTRACT</w:t>
      </w:r>
    </w:p>
    <w:p w14:paraId="4B444173" w14:textId="77777777" w:rsidR="00B341F8" w:rsidRDefault="00B341F8" w:rsidP="00B341F8">
      <w:pPr>
        <w:rPr>
          <w:szCs w:val="24"/>
        </w:rPr>
      </w:pPr>
    </w:p>
    <w:p w14:paraId="148FBDC9" w14:textId="77777777" w:rsidR="00B341F8" w:rsidRPr="00901E09" w:rsidRDefault="00B341F8" w:rsidP="00B341F8">
      <w:r>
        <w:rPr>
          <w:szCs w:val="24"/>
        </w:rPr>
        <w:t>The effects of water-level fluctuation on the production and bioaccumulation of methylmercury (MeHg) in a prairie-wetland ecosystem was investigated at the Agassiz National Wildlife Refuge in northwestern Minnesota, USA. MeHg concentrations in sediments and two bio-indicator organisms were followed for three years – before, during, and after management drawdown and re-flooding of the largest refuge wetland, the 40-km</w:t>
      </w:r>
      <w:r>
        <w:rPr>
          <w:szCs w:val="24"/>
          <w:vertAlign w:val="superscript"/>
        </w:rPr>
        <w:t>2</w:t>
      </w:r>
      <w:r>
        <w:rPr>
          <w:szCs w:val="24"/>
        </w:rPr>
        <w:t xml:space="preserve"> Agassiz Pool. </w:t>
      </w:r>
      <w:r w:rsidRPr="00744BE8">
        <w:t>A nearby wetland not undergoing drawdown served as a control system</w:t>
      </w:r>
      <w:r>
        <w:t xml:space="preserve">. MeHg </w:t>
      </w:r>
      <w:r w:rsidRPr="00CF26B6">
        <w:t>in brook sticklebacks (</w:t>
      </w:r>
      <w:proofErr w:type="spellStart"/>
      <w:r w:rsidRPr="00CF26B6">
        <w:rPr>
          <w:rStyle w:val="st"/>
          <w:i/>
        </w:rPr>
        <w:t>Culaea</w:t>
      </w:r>
      <w:proofErr w:type="spellEnd"/>
      <w:r w:rsidRPr="00CF26B6">
        <w:rPr>
          <w:rStyle w:val="st"/>
          <w:i/>
        </w:rPr>
        <w:t xml:space="preserve"> </w:t>
      </w:r>
      <w:proofErr w:type="spellStart"/>
      <w:r w:rsidRPr="00CF26B6">
        <w:rPr>
          <w:rStyle w:val="st"/>
          <w:i/>
        </w:rPr>
        <w:t>inconstans</w:t>
      </w:r>
      <w:proofErr w:type="spellEnd"/>
      <w:r w:rsidRPr="00CF26B6">
        <w:t>), amphipods (</w:t>
      </w:r>
      <w:proofErr w:type="spellStart"/>
      <w:r w:rsidRPr="00CF26B6">
        <w:rPr>
          <w:i/>
        </w:rPr>
        <w:t>Gammarus</w:t>
      </w:r>
      <w:proofErr w:type="spellEnd"/>
      <w:r w:rsidRPr="00CF26B6">
        <w:rPr>
          <w:i/>
        </w:rPr>
        <w:t xml:space="preserve"> </w:t>
      </w:r>
      <w:proofErr w:type="spellStart"/>
      <w:r w:rsidRPr="00CF26B6">
        <w:rPr>
          <w:i/>
        </w:rPr>
        <w:t>lacustris</w:t>
      </w:r>
      <w:proofErr w:type="spellEnd"/>
      <w:r w:rsidRPr="00CF26B6">
        <w:t xml:space="preserve">), and </w:t>
      </w:r>
      <w:r>
        <w:t xml:space="preserve">surficial </w:t>
      </w:r>
      <w:r w:rsidRPr="00CF26B6">
        <w:t xml:space="preserve">sediments </w:t>
      </w:r>
      <w:r>
        <w:t>of the Agassiz Pool rose markedly</w:t>
      </w:r>
      <w:r w:rsidRPr="00CF26B6">
        <w:t xml:space="preserve"> between 2009 </w:t>
      </w:r>
      <w:r w:rsidR="00B97516">
        <w:t>(</w:t>
      </w:r>
      <w:r w:rsidRPr="00CF26B6">
        <w:t>before water-level drawdown</w:t>
      </w:r>
      <w:r w:rsidR="00B97516">
        <w:t xml:space="preserve">) and 2011 (after re-flooding), </w:t>
      </w:r>
      <w:r>
        <w:t>while the control pool showed</w:t>
      </w:r>
      <w:r w:rsidRPr="00CF26B6">
        <w:t xml:space="preserve"> no sig</w:t>
      </w:r>
      <w:r>
        <w:t>nificant increases between years. The largest increases were observed in collections from shallow-water locations, presumably because microbial methylation following re-flooding was most active where sediments had dried and oxidized more completely during drawdown. The drying/wetting process likely altered the bioavailability of key reactants in the methylation process – principally sulfate, organic matter, and reactive inorganic mercury. This study,</w:t>
      </w:r>
      <w:r w:rsidRPr="00744BE8">
        <w:t xml:space="preserve"> one of the first experimental evaluations of water-level effects on </w:t>
      </w:r>
      <w:r>
        <w:t xml:space="preserve">mercury cycling in a prairie wetland, demonstrates a risk for increased biotic mercury exposure that needs to be balanced against the habitat benefits of water-level management. </w:t>
      </w:r>
    </w:p>
    <w:p w14:paraId="697075CC" w14:textId="77777777" w:rsidR="00B341F8" w:rsidRDefault="00B341F8" w:rsidP="00485F92">
      <w:pPr>
        <w:rPr>
          <w:b/>
        </w:rPr>
      </w:pPr>
    </w:p>
    <w:p w14:paraId="1A6412A4" w14:textId="77777777" w:rsidR="00B341F8" w:rsidRDefault="00B341F8" w:rsidP="00485F92">
      <w:pPr>
        <w:rPr>
          <w:b/>
        </w:rPr>
      </w:pPr>
    </w:p>
    <w:p w14:paraId="0C2BD6E7" w14:textId="77777777" w:rsidR="00485F92" w:rsidRPr="00744BE8" w:rsidRDefault="00485F92" w:rsidP="00485F92">
      <w:pPr>
        <w:rPr>
          <w:b/>
        </w:rPr>
      </w:pPr>
      <w:r w:rsidRPr="00744BE8">
        <w:rPr>
          <w:b/>
        </w:rPr>
        <w:t>INTRODUCTION</w:t>
      </w:r>
    </w:p>
    <w:p w14:paraId="08E00DAD" w14:textId="77777777" w:rsidR="00485F92" w:rsidRPr="00744BE8" w:rsidRDefault="00485F92" w:rsidP="00485F92">
      <w:pPr>
        <w:rPr>
          <w:b/>
        </w:rPr>
      </w:pPr>
    </w:p>
    <w:p w14:paraId="16794A57" w14:textId="5A6C70DF" w:rsidR="00485F92" w:rsidRPr="00744BE8" w:rsidRDefault="00485F92">
      <w:r w:rsidRPr="00744BE8">
        <w:t>Mercury (Hg) contamination of aquatic food webs is a widespread environme</w:t>
      </w:r>
      <w:r w:rsidR="000F22A5">
        <w:t xml:space="preserve">ntal problem linked in part to </w:t>
      </w:r>
      <w:r w:rsidRPr="00744BE8">
        <w:t xml:space="preserve">long-range atmospheric transport and deposition of Hg from industrial emission sources </w:t>
      </w:r>
      <w:r>
        <w:fldChar w:fldCharType="begin"/>
      </w:r>
      <w:r w:rsidR="002160C6">
        <w:instrText xml:space="preserve"> ADDIN EN.CITE &lt;EndNote&gt;&lt;Cite&gt;&lt;Author&gt;Fitzgerald&lt;/Author&gt;&lt;Year&gt;1998&lt;/Year&gt;&lt;RecNum&gt;2678&lt;/RecNum&gt;&lt;DisplayText&gt;(Fitzgerald et al., 1998)&lt;/DisplayText&gt;&lt;record&gt;&lt;rec-number&gt;2678&lt;/rec-number&gt;&lt;foreign-keys&gt;&lt;key app="EN" db-id="29tf2ez5ssvd0mes5tux0wdox9st5tdt02zx" timestamp="0"&gt;2678&lt;/key&gt;&lt;/foreign-keys&gt;&lt;ref-type name="Journal Article"&gt;17&lt;/ref-type&gt;&lt;contributors&gt;&lt;authors&gt;&lt;author&gt;Fitzgerald, W.F.&lt;/author&gt;&lt;author&gt;Engstrom, D.R.&lt;/author&gt;&lt;author&gt;Mason, R.P.&lt;/author&gt;&lt;author&gt;Nater, E.A.&lt;/author&gt;&lt;/authors&gt;&lt;/contributors&gt;&lt;titles&gt;&lt;title&gt;The case for atmospheric mercury contamination in remote areas&lt;/title&gt;&lt;secondary-title&gt;Environmental Science &amp;amp; Technology&lt;/secondary-title&gt;&lt;/titles&gt;&lt;periodical&gt;&lt;full-title&gt;Environmental Science &amp;amp; Technology&lt;/full-title&gt;&lt;abbr-1&gt;Environ. Sci. Technol.&lt;/abbr-1&gt;&lt;/periodical&gt;&lt;pages&gt;1-7&lt;/pages&gt;&lt;volume&gt;32&lt;/volume&gt;&lt;number&gt;1&lt;/number&gt;&lt;dates&gt;&lt;year&gt;1998&lt;/year&gt;&lt;/dates&gt;&lt;urls&gt;&lt;/urls&gt;&lt;/record&gt;&lt;/Cite&gt;&lt;/EndNote&gt;</w:instrText>
      </w:r>
      <w:r>
        <w:fldChar w:fldCharType="separate"/>
      </w:r>
      <w:r w:rsidR="002160C6">
        <w:rPr>
          <w:noProof/>
        </w:rPr>
        <w:t>(Fitzgerald et al., 1998)</w:t>
      </w:r>
      <w:r>
        <w:fldChar w:fldCharType="end"/>
      </w:r>
      <w:r w:rsidRPr="00744BE8">
        <w:t xml:space="preserve">. A key step in the contamination process is the microbial conversion of inorganic Hg to its bioaccumulative form, methylmercury (MeHg) in lake and wetland sediments. Multiple environmental factors influence rates of methylation and biotic uptake such that Hg levels at higher trophic levels can vary widely among water bodies receiving similar </w:t>
      </w:r>
      <w:r w:rsidR="00C62171">
        <w:t xml:space="preserve">regional </w:t>
      </w:r>
      <w:r w:rsidRPr="00744BE8">
        <w:t xml:space="preserve">inputs of atmospheric Hg </w:t>
      </w:r>
      <w:r>
        <w:fldChar w:fldCharType="begin"/>
      </w:r>
      <w:r w:rsidR="002160C6">
        <w:instrText xml:space="preserve"> ADDIN EN.CITE &lt;EndNote&gt;&lt;Cite&gt;&lt;Author&gt;Wiener&lt;/Author&gt;&lt;Year&gt;2006&lt;/Year&gt;&lt;RecNum&gt;3637&lt;/RecNum&gt;&lt;DisplayText&gt;(Wiener et al., 2006)&lt;/DisplayText&gt;&lt;record&gt;&lt;rec-number&gt;3637&lt;/rec-number&gt;&lt;foreign-keys&gt;&lt;key app="EN" db-id="29tf2ez5ssvd0mes5tux0wdox9st5tdt02zx" timestamp="0"&gt;3637&lt;/key&gt;&lt;/foreign-keys&gt;&lt;ref-type name="Journal Article"&gt;17&lt;/ref-type&gt;&lt;contributors&gt;&lt;authors&gt;&lt;author&gt;Wiener, J.G.&lt;/author&gt;&lt;author&gt;Knights, B.C. &lt;/author&gt;&lt;author&gt;Sandheinrich, M.B. &lt;/author&gt;&lt;author&gt;Jeremiason, J.D. &lt;/author&gt;&lt;author&gt;Brigham, M.E.&lt;/author&gt;&lt;author&gt;Engstrom, D.R. &lt;/author&gt;&lt;author&gt;Woodruff, L.G. &lt;/author&gt;&lt;author&gt;Cannon,  W.F. &lt;/author&gt;&lt;author&gt;Balogh, S.J.&lt;/author&gt;&lt;/authors&gt;&lt;/contributors&gt;&lt;titles&gt;&lt;title&gt;Mercury in soils, lakes, an fish in Voyageurs National Park (Minnesota): importance of atmospheric deposition and ecosystem factors&lt;/title&gt;&lt;secondary-title&gt;Environmental Science &amp;amp; Technology&lt;/secondary-title&gt;&lt;/titles&gt;&lt;periodical&gt;&lt;full-title&gt;Environmental Science &amp;amp; Technology&lt;/full-title&gt;&lt;abbr-1&gt;Environ. Sci. Technol.&lt;/abbr-1&gt;&lt;/periodical&gt;&lt;pages&gt;6281-6286&lt;/pages&gt;&lt;volume&gt;20&lt;/volume&gt;&lt;dates&gt;&lt;year&gt;2006&lt;/year&gt;&lt;/dates&gt;&lt;urls&gt;&lt;/urls&gt;&lt;/record&gt;&lt;/Cite&gt;&lt;/EndNote&gt;</w:instrText>
      </w:r>
      <w:r>
        <w:fldChar w:fldCharType="separate"/>
      </w:r>
      <w:r w:rsidR="002160C6">
        <w:rPr>
          <w:noProof/>
        </w:rPr>
        <w:t>(Wiener et al., 2006)</w:t>
      </w:r>
      <w:r>
        <w:fldChar w:fldCharType="end"/>
      </w:r>
      <w:r w:rsidRPr="00744BE8">
        <w:t xml:space="preserve">. Among factors known to increase MeHg production in lakes and wetlands are water-level fluctuations which alter chemical and microbial conditions in surface sediments by exposing them to drying and rewetting </w:t>
      </w:r>
      <w:r w:rsidR="002160C6">
        <w:fldChar w:fldCharType="begin">
          <w:fldData xml:space="preserve">PEVuZE5vdGU+PENpdGU+PEF1dGhvcj5NdW50aGU8L0F1dGhvcj48WWVhcj4yMDA3PC9ZZWFyPjxS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</w:fldData>
        </w:fldChar>
      </w:r>
      <w:r w:rsidR="002160C6">
        <w:instrText xml:space="preserve"> ADDIN EN.CITE </w:instrText>
      </w:r>
      <w:r w:rsidR="002160C6">
        <w:fldChar w:fldCharType="begin">
          <w:fldData xml:space="preserve">PEVuZE5vdGU+PENpdGU+PEF1dGhvcj5NdW50aGU8L0F1dGhvcj48WWVhcj4yMDA3PC9ZZWFyPjxS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</w:fldData>
        </w:fldChar>
      </w:r>
      <w:r w:rsidR="002160C6">
        <w:instrText xml:space="preserve"> ADDIN EN.CITE.DATA </w:instrText>
      </w:r>
      <w:r w:rsidR="002160C6">
        <w:fldChar w:fldCharType="end"/>
      </w:r>
      <w:r w:rsidR="002160C6">
        <w:fldChar w:fldCharType="separate"/>
      </w:r>
      <w:r w:rsidR="002160C6">
        <w:rPr>
          <w:noProof/>
        </w:rPr>
        <w:t>(Cowdery and Brigham, 2013; Gilmour et al., 2004; Munthe et al., 2007; Rumbold and Fink, 2006)</w:t>
      </w:r>
      <w:r w:rsidR="002160C6">
        <w:fldChar w:fldCharType="end"/>
      </w:r>
      <w:r>
        <w:t>.</w:t>
      </w:r>
      <w:r w:rsidRPr="00744BE8">
        <w:t xml:space="preserve"> This drying/wetting process alters the bioavailability of key reactants in the methylation process – principally sulfate, organic matter, and reactive inorganic Hg.</w:t>
      </w:r>
    </w:p>
    <w:p w14:paraId="4625B0B0" w14:textId="77777777" w:rsidR="00485F92" w:rsidRPr="00744BE8" w:rsidRDefault="00485F92"/>
    <w:p w14:paraId="2EF83BE9" w14:textId="77777777" w:rsidR="00485F92" w:rsidRPr="00744BE8" w:rsidRDefault="00485F92">
      <w:r w:rsidRPr="00744BE8">
        <w:t xml:space="preserve">Although well documented in boreal systems </w:t>
      </w:r>
      <w:r>
        <w:fldChar w:fldCharType="begin"/>
      </w:r>
      <w:r w:rsidR="002160C6">
        <w:instrText xml:space="preserve"> ADDIN EN.CITE &lt;EndNote&gt;&lt;Cite&gt;&lt;Author&gt;Sorensen&lt;/Author&gt;&lt;Year&gt;2005&lt;/Year&gt;&lt;RecNum&gt;3767&lt;/RecNum&gt;&lt;DisplayText&gt;(Porvari, 1998; Sorensen et al., 2005)&lt;/DisplayText&gt;&lt;record&gt;&lt;rec-number&gt;3767&lt;/rec-number&gt;&lt;foreign-keys&gt;&lt;key app="EN" db-id="29tf2ez5ssvd0mes5tux0wdox9st5tdt02zx" timestamp="0"&gt;3767&lt;/key&gt;&lt;/foreign-keys&gt;&lt;ref-type name="Journal Article"&gt;17&lt;/ref-type&gt;&lt;contributors&gt;&lt;authors&gt;&lt;author&gt;Sorensen, J.A.&lt;/author&gt;&lt;author&gt;Kallemeyn, L.W.&lt;/author&gt;&lt;author&gt;Sydor, M.&lt;/author&gt;&lt;/authors&gt;&lt;/contributors&gt;&lt;titles&gt;&lt;title&gt;Relationship between mercury accumulation in young-of-the-year yellow perch and water-level fluctuations&lt;/title&gt;&lt;secondary-title&gt;Environmental Science &amp;amp; Technology&lt;/secondary-title&gt;&lt;/titles&gt;&lt;periodical&gt;&lt;full-title&gt;Environmental Science &amp;amp; Technology&lt;/full-title&gt;&lt;abbr-1&gt;Environ. Sci. Technol.&lt;/abbr-1&gt;&lt;/periodical&gt;&lt;pages&gt;9237-9243&lt;/pages&gt;&lt;volume&gt;39&lt;/volume&gt;&lt;number&gt;23&lt;/number&gt;&lt;dates&gt;&lt;year&gt;2005&lt;/year&gt;&lt;/dates&gt;&lt;urls&gt;&lt;/urls&gt;&lt;/record&gt;&lt;/Cite&gt;&lt;Cite&gt;&lt;Author&gt;Porvari&lt;/Author&gt;&lt;Year&gt;1998&lt;/Year&gt;&lt;RecNum&gt;4132&lt;/RecNum&gt;&lt;record&gt;&lt;rec-number&gt;4132&lt;/rec-number&gt;&lt;foreign-keys&gt;&lt;key app="EN" db-id="29tf2ez5ssvd0mes5tux0wdox9st5tdt02zx" timestamp="0"&gt;4132&lt;/key&gt;&lt;/foreign-keys&gt;&lt;ref-type name="Journal Article"&gt;17&lt;/ref-type&gt;&lt;contributors&gt;&lt;authors&gt;&lt;author&gt;Porvari, P.&lt;/author&gt;&lt;/authors&gt;&lt;/contributors&gt;&lt;titles&gt;&lt;title&gt;Development of fish mercury concentrations in Finnish reservoirs from 1979 to 1994&lt;/title&gt;&lt;secondary-title&gt;Science of the Total Environment&lt;/secondary-title&gt;&lt;/titles&gt;&lt;periodical&gt;&lt;full-title&gt;Science of the Total Environment&lt;/full-title&gt;&lt;abbr-1&gt;Sci. Tot. Environ.&lt;/abbr-1&gt;&lt;/periodical&gt;&lt;pages&gt;279-290&lt;/pages&gt;&lt;volume&gt;213&lt;/volume&gt;&lt;dates&gt;&lt;year&gt;1998&lt;/year&gt;&lt;/dates&gt;&lt;urls&gt;&lt;/urls&gt;&lt;/record&gt;&lt;/Cite&gt;&lt;/EndNote&gt;</w:instrText>
      </w:r>
      <w:r>
        <w:fldChar w:fldCharType="separate"/>
      </w:r>
      <w:r w:rsidR="002160C6">
        <w:rPr>
          <w:noProof/>
        </w:rPr>
        <w:t>(Porvari, 1998; Sorensen et al., 2005)</w:t>
      </w:r>
      <w:r>
        <w:fldChar w:fldCharType="end"/>
      </w:r>
      <w:r w:rsidRPr="00744BE8">
        <w:t xml:space="preserve">, the effects of water-level fluctuations </w:t>
      </w:r>
      <w:r w:rsidR="004C2432">
        <w:t xml:space="preserve">on Hg methylation </w:t>
      </w:r>
      <w:r w:rsidRPr="00744BE8">
        <w:t xml:space="preserve">have </w:t>
      </w:r>
      <w:r w:rsidR="00BA3024">
        <w:t xml:space="preserve">received only limited </w:t>
      </w:r>
      <w:r w:rsidR="004C2432">
        <w:t>attention</w:t>
      </w:r>
      <w:r w:rsidRPr="00744BE8">
        <w:t xml:space="preserve"> in prairie regions where underlying hydrochemical conditions are quite different. Lakes and wetlands in mid-continental grasslands tend to undergo large seasonal oscillations in hydrologic water balance and are generally higher in dissolved solids than boreal lakes owing to a greater prevalence of easily weathered minerals in regional soils. Of particular relevance to MeHg production is the high concentrations of sulfate</w:t>
      </w:r>
      <w:r w:rsidR="006B07FB">
        <w:t xml:space="preserve"> (from sulfide-mineral weathering)</w:t>
      </w:r>
      <w:r w:rsidRPr="00744BE8">
        <w:t xml:space="preserve"> in surface waters and prairie wetlands of the northern Great Plains. At low concentrations sulfate can stimulate Hg methylation by increasing the metabolic activity of sulfate reducing bacteria (SRB) – an important group of Hg methylators – but inhibit it at higher concentrations by affecting Hg speciation and inter-cellular transport </w:t>
      </w:r>
      <w:r>
        <w:fldChar w:fldCharType="begin"/>
      </w:r>
      <w:r w:rsidR="002160C6">
        <w:instrText xml:space="preserve"> ADDIN EN.CITE &lt;EndNote&gt;&lt;Cite&gt;&lt;Author&gt;Gilmour&lt;/Author&gt;&lt;Year&gt;1992&lt;/Year&gt;&lt;RecNum&gt;2628&lt;/RecNum&gt;&lt;DisplayText&gt;(Benoit et al., 1999; Gilmour et al., 1992)&lt;/DisplayText&gt;&lt;record&gt;&lt;rec-number&gt;2628&lt;/rec-number&gt;&lt;foreign-keys&gt;&lt;key app="EN" db-id="29tf2ez5ssvd0mes5tux0wdox9st5tdt02zx" timestamp="0"&gt;2628&lt;/key&gt;&lt;/foreign-keys&gt;&lt;ref-type name="Journal Article"&gt;17&lt;/ref-type&gt;&lt;contributors&gt;&lt;authors&gt;&lt;author&gt;Gilmour, C C.&lt;/author&gt;&lt;author&gt;Henry, E.A.&lt;/author&gt;&lt;author&gt;Mitchell, R.&lt;/author&gt;&lt;/authors&gt;&lt;/contributors&gt;&lt;titles&gt;&lt;title&gt;Sulfate stimulation of mercury methylation in freshwater sediments&lt;/title&gt;&lt;secondary-title&gt;Environmental Science &amp;amp; Technology&lt;/secondary-title&gt;&lt;/titles&gt;&lt;periodical&gt;&lt;full-title&gt;Environmental Science &amp;amp; Technology&lt;/full-title&gt;&lt;abbr-1&gt;Environ. Sci. Technol.&lt;/abbr-1&gt;&lt;/periodical&gt;&lt;pages&gt;2881-2887&lt;/pages&gt;&lt;volume&gt;26&lt;/volume&gt;&lt;dates&gt;&lt;year&gt;1992&lt;/year&gt;&lt;/dates&gt;&lt;urls&gt;&lt;/urls&gt;&lt;/record&gt;&lt;/Cite&gt;&lt;Cite&gt;&lt;Author&gt;Benoit&lt;/Author&gt;&lt;Year&gt;1999&lt;/Year&gt;&lt;RecNum&gt;2836&lt;/RecNum&gt;&lt;record&gt;&lt;rec-number&gt;2836&lt;/rec-number&gt;&lt;foreign-keys&gt;&lt;key app="EN" db-id="29tf2ez5ssvd0mes5tux0wdox9st5tdt02zx" timestamp="0"&gt;2836&lt;/key&gt;&lt;/foreign-keys&gt;&lt;ref-type name="Journal Article"&gt;17&lt;/ref-type&gt;&lt;contributors&gt;&lt;authors&gt;&lt;author&gt;Benoit, J.M.&lt;/author&gt;&lt;author&gt;Gilmour, C.C.&lt;/author&gt;&lt;author&gt;Mason, R.P.&lt;/author&gt;&lt;author&gt;Heyes, A.&lt;/author&gt;&lt;/authors&gt;&lt;/contributors&gt;&lt;titles&gt;&lt;title&gt;Sulfide controls on mercury speciation and bioavailability to methylating bacteria in sediment pore waters&lt;/title&gt;&lt;secondary-title&gt;Environmental Science &amp;amp; Technology&lt;/secondary-title&gt;&lt;/titles&gt;&lt;periodical&gt;&lt;full-title&gt;Environmental Science &amp;amp; Technology&lt;/full-title&gt;&lt;abbr-1&gt;Environ. Sci. Technol.&lt;/abbr-1&gt;&lt;/periodical&gt;&lt;pages&gt;951-957&lt;/pages&gt;&lt;volume&gt;33&lt;/volume&gt;&lt;number&gt;6&lt;/number&gt;&lt;dates&gt;&lt;year&gt;1999&lt;/year&gt;&lt;/dates&gt;&lt;urls&gt;&lt;/urls&gt;&lt;/record&gt;&lt;/Cite&gt;&lt;/EndNote&gt;</w:instrText>
      </w:r>
      <w:r>
        <w:fldChar w:fldCharType="separate"/>
      </w:r>
      <w:r w:rsidR="002160C6">
        <w:rPr>
          <w:noProof/>
        </w:rPr>
        <w:t>(Benoit et al., 1999; Gilmour et al., 1992)</w:t>
      </w:r>
      <w:r>
        <w:fldChar w:fldCharType="end"/>
      </w:r>
      <w:r w:rsidRPr="00744BE8">
        <w:t xml:space="preserve">. Fluctuating </w:t>
      </w:r>
      <w:r w:rsidRPr="00744BE8">
        <w:lastRenderedPageBreak/>
        <w:t>water levels have been shown to enhance the release of sulfate from bottom sediments, but in prairie wetlands with high ambient sulfate levels this process may not have the same stimulatory effect on Hg methylation observed in more sulfate-limited landscapes.</w:t>
      </w:r>
    </w:p>
    <w:p w14:paraId="041F29AC" w14:textId="77777777" w:rsidR="00485F92" w:rsidRPr="00744BE8" w:rsidRDefault="00485F92"/>
    <w:p w14:paraId="3A8E5EA9" w14:textId="77777777" w:rsidR="00485F92" w:rsidRPr="00744BE8" w:rsidRDefault="00485F92">
      <w:r w:rsidRPr="00744BE8">
        <w:t xml:space="preserve">Water-level manipulation is a well-established management technique for habitat improvement for </w:t>
      </w:r>
      <w:proofErr w:type="spellStart"/>
      <w:r w:rsidRPr="00744BE8">
        <w:t>waterbird</w:t>
      </w:r>
      <w:proofErr w:type="spellEnd"/>
      <w:r w:rsidRPr="00744BE8">
        <w:t xml:space="preserve"> production at state and national wildlife refuges. However, there are concerns that enhanced mercury methylation and increased biotic exposure may be unintended consequences of such hydro-management. At the Agassiz National Wildlife Refuge in northwestern Minnesota, a water-level drawdown and re-flooding of the largest of the refuge wetlands, the Agassiz Pool (40 km</w:t>
      </w:r>
      <w:r w:rsidRPr="00744BE8">
        <w:rPr>
          <w:vertAlign w:val="superscript"/>
        </w:rPr>
        <w:t>2</w:t>
      </w:r>
      <w:r w:rsidRPr="00744BE8">
        <w:t xml:space="preserve">), allowed us to conduct a large-scale, multi-year experiment to evaluate the effects of water-level fluctuation on MeHg levels in key sectors of the aquatic food chain. A study of the previous drawdown of the Agassiz Pool, ten years prior, showed no measurable change in Hg levels in </w:t>
      </w:r>
      <w:proofErr w:type="spellStart"/>
      <w:r w:rsidRPr="00744BE8">
        <w:t>waterbirds</w:t>
      </w:r>
      <w:proofErr w:type="spellEnd"/>
      <w:r w:rsidRPr="00744BE8">
        <w:t xml:space="preserve"> or tree swallows </w:t>
      </w:r>
      <w:r>
        <w:fldChar w:fldCharType="begin"/>
      </w:r>
      <w:r w:rsidR="002160C6">
        <w:instrText xml:space="preserve"> ADDIN EN.CITE &lt;EndNote&gt;&lt;Cite&gt;&lt;Author&gt;Custer&lt;/Author&gt;&lt;Year&gt;2003&lt;/Year&gt;&lt;RecNum&gt;4135&lt;/RecNum&gt;&lt;DisplayText&gt;(Custer and Custer, 2003; Custer et al., 2006)&lt;/DisplayText&gt;&lt;record&gt;&lt;rec-number&gt;4135&lt;/rec-number&gt;&lt;foreign-keys&gt;&lt;key app="EN" db-id="29tf2ez5ssvd0mes5tux0wdox9st5tdt02zx" timestamp="0"&gt;4135&lt;/key&gt;&lt;/foreign-keys&gt;&lt;ref-type name="Report"&gt;27&lt;/ref-type&gt;&lt;contributors&gt;&lt;authors&gt;&lt;author&gt;Custer, C.M.&lt;/author&gt;&lt;author&gt;Custer, T.W.&lt;/author&gt;&lt;/authors&gt;&lt;/contributors&gt;&lt;titles&gt;&lt;title&gt;Exposure and effects of metal accumulations by wildlife on Agassiz National Wildlife Refuge&lt;/title&gt;&lt;/titles&gt;&lt;pages&gt;1-107&lt;/pages&gt;&lt;dates&gt;&lt;year&gt;2003&lt;/year&gt;&lt;/dates&gt;&lt;pub-location&gt;La Crosse, WI&lt;/pub-location&gt;&lt;publisher&gt;U.S. Geological Survey, Upper Midwest Environmental Sciences Center&lt;/publisher&gt;&lt;urls&gt;&lt;/urls&gt;&lt;/record&gt;&lt;/Cite&gt;&lt;Cite&gt;&lt;Author&gt;Custer&lt;/Author&gt;&lt;Year&gt;2006&lt;/Year&gt;&lt;RecNum&gt;4134&lt;/RecNum&gt;&lt;record&gt;&lt;rec-number&gt;4134&lt;/rec-number&gt;&lt;foreign-keys&gt;&lt;key app="EN" db-id="29tf2ez5ssvd0mes5tux0wdox9st5tdt02zx" timestamp="0"&gt;4134&lt;/key&gt;&lt;/foreign-keys&gt;&lt;ref-type name="Journal Article"&gt;17&lt;/ref-type&gt;&lt;contributors&gt;&lt;authors&gt;&lt;author&gt;Custer, C.M.&lt;/author&gt;&lt;author&gt;Custer, T.W.&lt;/author&gt;&lt;author&gt;Warburton, D.&lt;/author&gt;&lt;author&gt;Hoffman, D.J.&lt;/author&gt;&lt;author&gt;Bickham, J.W.&lt;/author&gt;&lt;author&gt;Matson, C.W.&lt;/author&gt;&lt;/authors&gt;&lt;/contributors&gt;&lt;titles&gt;&lt;title&gt;Trace element concentrations and bioindicator responses in tree swallows from northwestern Minnesota&lt;/title&gt;&lt;secondary-title&gt;Environmental Monitoring and Assessment&lt;/secondary-title&gt;&lt;/titles&gt;&lt;periodical&gt;&lt;full-title&gt;Environmental Monitoring and Assessment&lt;/full-title&gt;&lt;abbr-1&gt;Environ. Monit. Assess.&lt;/abbr-1&gt;&lt;/periodical&gt;&lt;pages&gt;247-266&lt;/pages&gt;&lt;volume&gt;118&lt;/volume&gt;&lt;dates&gt;&lt;year&gt;2006&lt;/year&gt;&lt;/dates&gt;&lt;urls&gt;&lt;/urls&gt;&lt;/record&gt;&lt;/Cite&gt;&lt;/EndNote&gt;</w:instrText>
      </w:r>
      <w:r>
        <w:fldChar w:fldCharType="separate"/>
      </w:r>
      <w:r w:rsidR="002160C6">
        <w:rPr>
          <w:noProof/>
        </w:rPr>
        <w:t>(Custer and Custer, 2003; Custer et al., 2006)</w:t>
      </w:r>
      <w:r>
        <w:fldChar w:fldCharType="end"/>
      </w:r>
      <w:r>
        <w:t>.</w:t>
      </w:r>
      <w:r w:rsidRPr="00744BE8">
        <w:t xml:space="preserve"> However, these higher trophic levels may be a less sensitive gauge of mercury exposure owing to their transitory use of the resource. Thus the current study focused on changing MeHg levels in bottom sediments and lower trophic levels (amphipods and forage fish) as potentially more responsive to local conditions</w:t>
      </w:r>
      <w:r w:rsidR="00D85431">
        <w:t xml:space="preserve"> and manipulation</w:t>
      </w:r>
      <w:r w:rsidRPr="00744BE8">
        <w:t>. Here we evaluate changes in MeHg levels in the Agassiz Pool over a three-year period (2009-2011), sampling before, during, and after water-table drawdown. A nearby wetland not undergoing drawdown served as a control system. The study represents one of the first experimental evaluations of water-level effects on mercury cycling in a prairie wetland ecosystem.</w:t>
      </w:r>
    </w:p>
    <w:p w14:paraId="02D2558F" w14:textId="77777777" w:rsidR="00485F92" w:rsidRPr="00744BE8" w:rsidRDefault="00485F92">
      <w:pPr>
        <w:rPr>
          <w:b/>
        </w:rPr>
      </w:pPr>
    </w:p>
    <w:p w14:paraId="5A291275" w14:textId="77777777" w:rsidR="00485F92" w:rsidRPr="00744BE8" w:rsidRDefault="00485F92">
      <w:pPr>
        <w:rPr>
          <w:b/>
        </w:rPr>
      </w:pPr>
      <w:r w:rsidRPr="00744BE8">
        <w:rPr>
          <w:b/>
        </w:rPr>
        <w:t>METHODS</w:t>
      </w:r>
    </w:p>
    <w:p w14:paraId="74B60598" w14:textId="77777777" w:rsidR="00485F92" w:rsidRDefault="00485F92">
      <w:pPr>
        <w:rPr>
          <w:b/>
        </w:rPr>
      </w:pPr>
    </w:p>
    <w:p w14:paraId="06018911" w14:textId="77777777" w:rsidR="00823E2B" w:rsidRPr="00744BE8" w:rsidRDefault="00823E2B" w:rsidP="00823E2B">
      <w:pPr>
        <w:rPr>
          <w:i/>
        </w:rPr>
      </w:pPr>
      <w:r>
        <w:rPr>
          <w:b/>
          <w:i/>
        </w:rPr>
        <w:t>Study Area</w:t>
      </w:r>
    </w:p>
    <w:p w14:paraId="03F3F392" w14:textId="77777777" w:rsidR="00823E2B" w:rsidRPr="000F5839" w:rsidRDefault="00823E2B" w:rsidP="00823E2B">
      <w:pPr>
        <w:rPr>
          <w:szCs w:val="24"/>
        </w:rPr>
      </w:pPr>
      <w:r>
        <w:rPr>
          <w:szCs w:val="24"/>
          <w:lang w:eastAsia="ja-JP"/>
        </w:rPr>
        <w:t>The Agassiz National Wildlife Refuge (ANWR) is a 250-km</w:t>
      </w:r>
      <w:r>
        <w:rPr>
          <w:szCs w:val="24"/>
          <w:vertAlign w:val="superscript"/>
          <w:lang w:eastAsia="ja-JP"/>
        </w:rPr>
        <w:t>2</w:t>
      </w:r>
      <w:r>
        <w:rPr>
          <w:szCs w:val="24"/>
          <w:lang w:eastAsia="ja-JP"/>
        </w:rPr>
        <w:t xml:space="preserve"> </w:t>
      </w:r>
      <w:r w:rsidR="006E0F06">
        <w:rPr>
          <w:szCs w:val="24"/>
          <w:lang w:eastAsia="ja-JP"/>
        </w:rPr>
        <w:t xml:space="preserve">wetland </w:t>
      </w:r>
      <w:r>
        <w:rPr>
          <w:szCs w:val="24"/>
          <w:lang w:eastAsia="ja-JP"/>
        </w:rPr>
        <w:t>complex located ~70 km south of the US-Canadian border in northwestern Minnesota</w:t>
      </w:r>
      <w:r w:rsidRPr="006438A1">
        <w:rPr>
          <w:bCs/>
          <w:szCs w:val="24"/>
          <w:lang w:eastAsia="ja-JP"/>
        </w:rPr>
        <w:t xml:space="preserve"> (48</w:t>
      </w:r>
      <w:r>
        <w:rPr>
          <w:bCs/>
          <w:szCs w:val="24"/>
          <w:lang w:eastAsia="ja-JP"/>
        </w:rPr>
        <w:t xml:space="preserve">° </w:t>
      </w:r>
      <w:r w:rsidR="00AF5EF9">
        <w:rPr>
          <w:bCs/>
          <w:szCs w:val="24"/>
          <w:lang w:eastAsia="ja-JP"/>
        </w:rPr>
        <w:t>18</w:t>
      </w:r>
      <w:r>
        <w:rPr>
          <w:bCs/>
          <w:szCs w:val="24"/>
          <w:lang w:eastAsia="ja-JP"/>
        </w:rPr>
        <w:t xml:space="preserve">’ </w:t>
      </w:r>
      <w:r w:rsidRPr="006438A1">
        <w:rPr>
          <w:bCs/>
          <w:szCs w:val="24"/>
          <w:lang w:eastAsia="ja-JP"/>
        </w:rPr>
        <w:t>N, 95</w:t>
      </w:r>
      <w:r>
        <w:rPr>
          <w:bCs/>
          <w:szCs w:val="24"/>
          <w:lang w:eastAsia="ja-JP"/>
        </w:rPr>
        <w:t xml:space="preserve">° </w:t>
      </w:r>
      <w:r w:rsidRPr="006438A1">
        <w:rPr>
          <w:bCs/>
          <w:szCs w:val="24"/>
          <w:lang w:eastAsia="ja-JP"/>
        </w:rPr>
        <w:t>5</w:t>
      </w:r>
      <w:r w:rsidR="00AF5EF9">
        <w:rPr>
          <w:bCs/>
          <w:szCs w:val="24"/>
          <w:lang w:eastAsia="ja-JP"/>
        </w:rPr>
        <w:t>9</w:t>
      </w:r>
      <w:r>
        <w:rPr>
          <w:bCs/>
          <w:szCs w:val="24"/>
          <w:lang w:eastAsia="ja-JP"/>
        </w:rPr>
        <w:t xml:space="preserve">’ </w:t>
      </w:r>
      <w:r w:rsidRPr="006438A1">
        <w:rPr>
          <w:bCs/>
          <w:szCs w:val="24"/>
          <w:lang w:eastAsia="ja-JP"/>
        </w:rPr>
        <w:t>W).</w:t>
      </w:r>
      <w:r>
        <w:rPr>
          <w:bCs/>
          <w:szCs w:val="24"/>
          <w:lang w:eastAsia="ja-JP"/>
        </w:rPr>
        <w:t xml:space="preserve"> A</w:t>
      </w:r>
      <w:r w:rsidR="005A47F9">
        <w:rPr>
          <w:bCs/>
          <w:szCs w:val="24"/>
          <w:lang w:eastAsia="ja-JP"/>
        </w:rPr>
        <w:t>NW</w:t>
      </w:r>
      <w:r>
        <w:rPr>
          <w:bCs/>
          <w:szCs w:val="24"/>
          <w:lang w:eastAsia="ja-JP"/>
        </w:rPr>
        <w:t xml:space="preserve">R lies within the aspen parkland transition zone between </w:t>
      </w:r>
      <w:proofErr w:type="spellStart"/>
      <w:r>
        <w:rPr>
          <w:bCs/>
          <w:szCs w:val="24"/>
          <w:lang w:eastAsia="ja-JP"/>
        </w:rPr>
        <w:t>tallgrass</w:t>
      </w:r>
      <w:proofErr w:type="spellEnd"/>
      <w:r>
        <w:rPr>
          <w:bCs/>
          <w:szCs w:val="24"/>
          <w:lang w:eastAsia="ja-JP"/>
        </w:rPr>
        <w:t xml:space="preserve"> prairie to the west and boreal forest to the east and contains 26 impoundments (also referred to as pools or wetlands) and three natural lakes, comprising approximately 60% of the refuge area. Upland areas support a mosaic of woodland, </w:t>
      </w:r>
      <w:proofErr w:type="spellStart"/>
      <w:r>
        <w:rPr>
          <w:bCs/>
          <w:szCs w:val="24"/>
          <w:lang w:eastAsia="ja-JP"/>
        </w:rPr>
        <w:t>shrubland</w:t>
      </w:r>
      <w:proofErr w:type="spellEnd"/>
      <w:r>
        <w:rPr>
          <w:bCs/>
          <w:szCs w:val="24"/>
          <w:lang w:eastAsia="ja-JP"/>
        </w:rPr>
        <w:t>, and prairie, while the surrounding landscape is given over to intensive row-crop agriculture.</w:t>
      </w:r>
      <w:r w:rsidR="006E0F06">
        <w:rPr>
          <w:bCs/>
          <w:szCs w:val="24"/>
          <w:lang w:eastAsia="ja-JP"/>
        </w:rPr>
        <w:t xml:space="preserve"> The refuge was established in 1937 and is managed primarily to support breeding and migratory waterfowl.</w:t>
      </w:r>
    </w:p>
    <w:p w14:paraId="40D3E9D4" w14:textId="77777777" w:rsidR="00823E2B" w:rsidRDefault="00823E2B">
      <w:pPr>
        <w:rPr>
          <w:b/>
        </w:rPr>
      </w:pPr>
    </w:p>
    <w:p w14:paraId="1CBE2FED" w14:textId="77777777" w:rsidR="00485F92" w:rsidRPr="00744BE8" w:rsidRDefault="00485F92">
      <w:pPr>
        <w:rPr>
          <w:i/>
        </w:rPr>
      </w:pPr>
      <w:r w:rsidRPr="00744BE8">
        <w:rPr>
          <w:b/>
          <w:i/>
        </w:rPr>
        <w:t>Field</w:t>
      </w:r>
    </w:p>
    <w:p w14:paraId="47415CA2" w14:textId="77777777" w:rsidR="00485F92" w:rsidRPr="007C522D" w:rsidRDefault="00485F92">
      <w:r w:rsidRPr="007C522D">
        <w:t>Surface sediments and two bio-indictor organisms, amphipods and forage fish, were collected over a three year period, 2009-2011, from the Agassiz Pool and Headquarters Pool, a control wetland not undergoing drawdown. Each pool was sampled twice each year at four widely spaced locations – two at relatively deep</w:t>
      </w:r>
      <w:r>
        <w:t>-</w:t>
      </w:r>
      <w:r w:rsidRPr="007C522D">
        <w:t>water sites (~ 1 m) and two in shallower water (~ 0.5 m) – during the summer season. Sampling sites were precisely relocated on each visit by GPS. Collection dates were largely dictated by the drawdown schedule for the Agassiz Pool. In 2009 and 2010 sampling occurred in mid and late summer, while in 2011, it was about one month earlier (Fig. 1). In 2010 during water-level drawdown of the Agassiz Pool</w:t>
      </w:r>
      <w:r w:rsidR="00B018BB">
        <w:t xml:space="preserve"> (Oct. 2009- Oct. 2010)</w:t>
      </w:r>
      <w:r w:rsidRPr="007C522D">
        <w:t>, shallow-water sites were largely dry and biotic samples could be collected only from the deeper sites that retained some water.</w:t>
      </w:r>
    </w:p>
    <w:p w14:paraId="318B7BE8" w14:textId="77777777" w:rsidR="00485F92" w:rsidRPr="007C522D" w:rsidRDefault="00485F92"/>
    <w:p w14:paraId="4F1D50F1" w14:textId="77777777" w:rsidR="00485F92" w:rsidRPr="007C522D" w:rsidRDefault="00485F92">
      <w:r w:rsidRPr="007C522D">
        <w:lastRenderedPageBreak/>
        <w:t xml:space="preserve">Surface sediments (0-2 cm) were collected by push-corer, amphipods by dip net, and fish by baited minnow traps. On or about the same date as sediment/biotic sampling, a single grab sample of surface water for major ions, nutrients, and total organic carbon (TOC) was collected from each pool, and water temperature, dissolved oxygen (DO), turbidity, pH, and conductivity were measured by water-quality sonde. Sediment, amphipod, and fish samples were placed in polypropylene jars in the field and, together with the water samples, immediately frozen upon return to the ANWR field lab. Voucher specimens of amphipods were collected in 2009 and preserved in ethanol for later identification. Fifteen of these individuals were dissected and identified according to </w:t>
      </w:r>
      <w:proofErr w:type="spellStart"/>
      <w:r w:rsidRPr="007C522D">
        <w:t>Holsinger</w:t>
      </w:r>
      <w:proofErr w:type="spellEnd"/>
      <w:r w:rsidRPr="007C522D">
        <w:t xml:space="preserve"> </w:t>
      </w:r>
      <w:r>
        <w:fldChar w:fldCharType="begin"/>
      </w:r>
      <w:r w:rsidR="002160C6">
        <w:instrText xml:space="preserve"> ADDIN EN.CITE &lt;EndNote&gt;&lt;Cite ExcludeAuth="1"&gt;&lt;Year&gt;1976&lt;/Year&gt;&lt;RecNum&gt;4140&lt;/RecNum&gt;&lt;DisplayText&gt;(1976)&lt;/DisplayText&gt;&lt;record&gt;&lt;rec-number&gt;4140&lt;/rec-number&gt;&lt;foreign-keys&gt;&lt;key app="EN" db-id="29tf2ez5ssvd0mes5tux0wdox9st5tdt02zx" timestamp="0"&gt;4140&lt;/key&gt;&lt;/foreign-keys&gt;&lt;ref-type name="Book"&gt;6&lt;/ref-type&gt;&lt;contributors&gt;&lt;authors&gt;&lt;author&gt;Holsinger, J.R.&lt;/author&gt;&lt;/authors&gt;&lt;/contributors&gt;&lt;titles&gt;&lt;title&gt;The Freshwater Amphipod Crustaceans (Gammaridae) of North America, 2nd ed.  WPCRS 18050 ELD04/72&lt;/title&gt;&lt;/titles&gt;&lt;dates&gt;&lt;year&gt;1976&lt;/year&gt;&lt;/dates&gt;&lt;publisher&gt;U.S. Environmental Protection Agency&lt;/publisher&gt;&lt;urls&gt;&lt;/urls&gt;&lt;/record&gt;&lt;/Cite&gt;&lt;/EndNote&gt;</w:instrText>
      </w:r>
      <w:r>
        <w:fldChar w:fldCharType="separate"/>
      </w:r>
      <w:r w:rsidR="002160C6">
        <w:rPr>
          <w:noProof/>
        </w:rPr>
        <w:t>(1976)</w:t>
      </w:r>
      <w:r>
        <w:fldChar w:fldCharType="end"/>
      </w:r>
      <w:r w:rsidRPr="007C522D">
        <w:t xml:space="preserve">, and all were found to be </w:t>
      </w:r>
      <w:proofErr w:type="spellStart"/>
      <w:r w:rsidRPr="007C522D">
        <w:rPr>
          <w:i/>
        </w:rPr>
        <w:t>Gammarus</w:t>
      </w:r>
      <w:proofErr w:type="spellEnd"/>
      <w:r w:rsidRPr="007C522D">
        <w:rPr>
          <w:i/>
        </w:rPr>
        <w:t xml:space="preserve"> </w:t>
      </w:r>
      <w:proofErr w:type="spellStart"/>
      <w:r w:rsidRPr="007C522D">
        <w:rPr>
          <w:i/>
        </w:rPr>
        <w:t>lacustris</w:t>
      </w:r>
      <w:proofErr w:type="spellEnd"/>
      <w:r w:rsidRPr="007C522D">
        <w:t>. There were no differences in species composition or size class distribution between the pools, though there were two distinct size classes represented in the collections. Brook stickleback (</w:t>
      </w:r>
      <w:proofErr w:type="spellStart"/>
      <w:r w:rsidRPr="007C522D">
        <w:rPr>
          <w:i/>
        </w:rPr>
        <w:t>Culea</w:t>
      </w:r>
      <w:proofErr w:type="spellEnd"/>
      <w:r w:rsidRPr="007C522D">
        <w:rPr>
          <w:i/>
        </w:rPr>
        <w:t xml:space="preserve"> </w:t>
      </w:r>
      <w:proofErr w:type="spellStart"/>
      <w:r w:rsidRPr="007C522D">
        <w:rPr>
          <w:i/>
        </w:rPr>
        <w:t>inconstans</w:t>
      </w:r>
      <w:proofErr w:type="spellEnd"/>
      <w:r w:rsidRPr="007C522D">
        <w:t>), by far the most abundant forage fish caught in the minnow traps, were used as bio-indicators for fish-Hg.</w:t>
      </w:r>
    </w:p>
    <w:p w14:paraId="32B70957" w14:textId="77777777" w:rsidR="00485F92" w:rsidRPr="007C522D" w:rsidRDefault="00485F92"/>
    <w:p w14:paraId="32EE15A3" w14:textId="77777777" w:rsidR="00485F92" w:rsidRPr="00744BE8" w:rsidRDefault="00485F92">
      <w:pPr>
        <w:rPr>
          <w:b/>
          <w:i/>
        </w:rPr>
      </w:pPr>
      <w:r w:rsidRPr="00744BE8">
        <w:rPr>
          <w:b/>
          <w:i/>
        </w:rPr>
        <w:t xml:space="preserve">Laboratory </w:t>
      </w:r>
    </w:p>
    <w:p w14:paraId="72C0EF8B" w14:textId="77777777" w:rsidR="00485F92" w:rsidRDefault="00485F92" w:rsidP="00485F92">
      <w:pPr>
        <w:pStyle w:val="BodyText"/>
        <w:jc w:val="left"/>
        <w:rPr>
          <w:b w:val="0"/>
        </w:rPr>
      </w:pPr>
      <w:r w:rsidRPr="007C522D">
        <w:rPr>
          <w:b w:val="0"/>
          <w:i/>
        </w:rPr>
        <w:t>Sediment</w:t>
      </w:r>
      <w:r w:rsidRPr="007C522D">
        <w:rPr>
          <w:b w:val="0"/>
        </w:rPr>
        <w:t xml:space="preserve">:  Organic content of sediments was estimated by mass loss on ignition (LOI) at 500° C </w:t>
      </w:r>
      <w:r w:rsidRPr="00FB00CA">
        <w:rPr>
          <w:b w:val="0"/>
        </w:rPr>
        <w:fldChar w:fldCharType="begin"/>
      </w:r>
      <w:r w:rsidR="002160C6">
        <w:rPr>
          <w:b w:val="0"/>
        </w:rPr>
        <w:instrText xml:space="preserve"> ADDIN EN.CITE &lt;EndNote&gt;&lt;Cite&gt;&lt;Author&gt;Heiri&lt;/Author&gt;&lt;Year&gt;2001&lt;/Year&gt;&lt;RecNum&gt;3209&lt;/RecNum&gt;&lt;DisplayText&gt;(Heiri et al., 2001)&lt;/DisplayText&gt;&lt;record&gt;&lt;rec-number&gt;3209&lt;/rec-number&gt;&lt;foreign-keys&gt;&lt;key app="EN" db-id="29tf2ez5ssvd0mes5tux0wdox9st5tdt02zx" timestamp="0"&gt;3209&lt;/key&gt;&lt;/foreign-keys&gt;&lt;ref-type name="Journal Article"&gt;17&lt;/ref-type&gt;&lt;contributors&gt;&lt;authors&gt;&lt;author&gt;Heiri, O.&lt;/author&gt;&lt;author&gt;Lotter, A.F.&lt;/author&gt;&lt;author&gt;Lemcke, G.&lt;/author&gt;&lt;/authors&gt;&lt;/contributors&gt;&lt;titles&gt;&lt;title&gt;Loss on ignition as a method for estimating organic and carbonate content in sediments: reproducibility and comparability of results&lt;/title&gt;&lt;secondary-title&gt;Journal of Paleolimnology&lt;/secondary-title&gt;&lt;/titles&gt;&lt;periodical&gt;&lt;full-title&gt;Journal of Paleolimnology&lt;/full-title&gt;&lt;abbr-1&gt;J. Paleolimnol.&lt;/abbr-1&gt;&lt;/periodical&gt;&lt;pages&gt;101-110&lt;/pages&gt;&lt;volume&gt;25&lt;/volume&gt;&lt;dates&gt;&lt;year&gt;2001&lt;/year&gt;&lt;/dates&gt;&lt;urls&gt;&lt;/urls&gt;&lt;/record&gt;&lt;/Cite&gt;&lt;/EndNote&gt;</w:instrText>
      </w:r>
      <w:r w:rsidRPr="00FB00CA">
        <w:rPr>
          <w:b w:val="0"/>
        </w:rPr>
        <w:fldChar w:fldCharType="separate"/>
      </w:r>
      <w:r w:rsidR="002160C6">
        <w:rPr>
          <w:b w:val="0"/>
          <w:noProof/>
        </w:rPr>
        <w:t>(Heiri et al., 2001)</w:t>
      </w:r>
      <w:r w:rsidRPr="00FB00CA">
        <w:rPr>
          <w:b w:val="0"/>
        </w:rPr>
        <w:fldChar w:fldCharType="end"/>
      </w:r>
      <w:r w:rsidRPr="00FB00CA">
        <w:rPr>
          <w:b w:val="0"/>
        </w:rPr>
        <w:t xml:space="preserve">. </w:t>
      </w:r>
      <w:r>
        <w:rPr>
          <w:b w:val="0"/>
        </w:rPr>
        <w:t xml:space="preserve">Subsamples for Hg analysis were lyophilized in their plastic storage jars at -90 </w:t>
      </w:r>
      <w:r>
        <w:rPr>
          <w:b w:val="0"/>
          <w:vertAlign w:val="superscript"/>
        </w:rPr>
        <w:t>o</w:t>
      </w:r>
      <w:r>
        <w:rPr>
          <w:b w:val="0"/>
        </w:rPr>
        <w:t>C until a constant mass was obtained, approximately four days. Sections were then homogenized with an acid-cleaned mortar and pestle, and frozen until analysis. Total mercury (</w:t>
      </w:r>
      <w:r w:rsidRPr="007C522D">
        <w:rPr>
          <w:b w:val="0"/>
        </w:rPr>
        <w:t>Hg</w:t>
      </w:r>
      <w:r w:rsidRPr="007C522D">
        <w:rPr>
          <w:b w:val="0"/>
          <w:vertAlign w:val="subscript"/>
        </w:rPr>
        <w:t>T</w:t>
      </w:r>
      <w:r w:rsidRPr="007C522D">
        <w:rPr>
          <w:b w:val="0"/>
        </w:rPr>
        <w:t>) in</w:t>
      </w:r>
      <w:r>
        <w:rPr>
          <w:b w:val="0"/>
        </w:rPr>
        <w:t xml:space="preserve"> samples was measured with an adaptation of EPA Method 7473, utilizing approximately 0.2-0.3 g of lyophilized sample introduced into a Milestone DMA-80 automated analyzer. The instrument places the quartz sample boat into a combustion chamber in the presence of a catalyst, followed by purging of elemental Hg onto a gold-coated sand trap. The trap is then heated, releasing Hg into a cold vapor atomic fluorescence detector.</w:t>
      </w:r>
    </w:p>
    <w:p w14:paraId="6EB2A5D3" w14:textId="77777777" w:rsidR="00485F92" w:rsidRDefault="00485F92" w:rsidP="00485F92">
      <w:pPr>
        <w:pStyle w:val="BodyText"/>
        <w:jc w:val="left"/>
        <w:rPr>
          <w:b w:val="0"/>
        </w:rPr>
      </w:pPr>
    </w:p>
    <w:p w14:paraId="56907315" w14:textId="77777777" w:rsidR="00485F92" w:rsidRDefault="00485F92" w:rsidP="00485F92">
      <w:pPr>
        <w:pStyle w:val="BodyText"/>
        <w:jc w:val="left"/>
        <w:rPr>
          <w:b w:val="0"/>
        </w:rPr>
      </w:pPr>
      <w:r>
        <w:rPr>
          <w:b w:val="0"/>
        </w:rPr>
        <w:t>Methylmercury (MeHg) in sediment was determined by steam-distillation (removing possible matrix interferences), followed by cold vapor atomic fluorescence spectrophotometry (CVAFS). Approximately 0.3-0.6 g of lyophilized sediment, 90 mL water, 1.0 mL 25% (w/v) CuSO</w:t>
      </w:r>
      <w:r>
        <w:rPr>
          <w:b w:val="0"/>
          <w:vertAlign w:val="subscript"/>
        </w:rPr>
        <w:t>4</w:t>
      </w:r>
      <w:r>
        <w:rPr>
          <w:b w:val="0"/>
        </w:rPr>
        <w:t>, 1.0 mL 50% (v/v) H</w:t>
      </w:r>
      <w:r>
        <w:rPr>
          <w:b w:val="0"/>
          <w:vertAlign w:val="subscript"/>
        </w:rPr>
        <w:t>2</w:t>
      </w:r>
      <w:r>
        <w:rPr>
          <w:b w:val="0"/>
        </w:rPr>
        <w:t>SO</w:t>
      </w:r>
      <w:r>
        <w:rPr>
          <w:b w:val="0"/>
          <w:vertAlign w:val="subscript"/>
        </w:rPr>
        <w:t>4</w:t>
      </w:r>
      <w:r>
        <w:rPr>
          <w:b w:val="0"/>
        </w:rPr>
        <w:t xml:space="preserve">, and 0.5 mL 25% (w/v) </w:t>
      </w:r>
      <w:proofErr w:type="spellStart"/>
      <w:r>
        <w:rPr>
          <w:b w:val="0"/>
        </w:rPr>
        <w:t>KCl</w:t>
      </w:r>
      <w:proofErr w:type="spellEnd"/>
      <w:r>
        <w:rPr>
          <w:b w:val="0"/>
        </w:rPr>
        <w:t xml:space="preserve"> was distilled at 120 </w:t>
      </w:r>
      <w:r>
        <w:rPr>
          <w:b w:val="0"/>
          <w:vertAlign w:val="superscript"/>
        </w:rPr>
        <w:t>o</w:t>
      </w:r>
      <w:r>
        <w:rPr>
          <w:b w:val="0"/>
        </w:rPr>
        <w:t xml:space="preserve">C for approximately 5 hours in a temperature-controlled hot block, followed by collection of the distillate in a Teflon vial. Approximately 40 mL of the distillate, </w:t>
      </w:r>
      <w:r w:rsidR="003603D4">
        <w:rPr>
          <w:b w:val="0"/>
        </w:rPr>
        <w:t>30-</w:t>
      </w:r>
      <w:r>
        <w:rPr>
          <w:b w:val="0"/>
        </w:rPr>
        <w:t xml:space="preserve">50 </w:t>
      </w:r>
      <w:r>
        <w:rPr>
          <w:b w:val="0"/>
        </w:rPr>
        <w:sym w:font="Symbol" w:char="F06D"/>
      </w:r>
      <w:r>
        <w:rPr>
          <w:b w:val="0"/>
        </w:rPr>
        <w:t xml:space="preserve">L of 1% (w/v) sodium </w:t>
      </w:r>
      <w:proofErr w:type="spellStart"/>
      <w:r>
        <w:rPr>
          <w:b w:val="0"/>
        </w:rPr>
        <w:t>tetraethylborate</w:t>
      </w:r>
      <w:proofErr w:type="spellEnd"/>
      <w:r>
        <w:rPr>
          <w:b w:val="0"/>
        </w:rPr>
        <w:t xml:space="preserve">, and 400 </w:t>
      </w:r>
      <w:r>
        <w:rPr>
          <w:b w:val="0"/>
        </w:rPr>
        <w:sym w:font="Symbol" w:char="F06D"/>
      </w:r>
      <w:r>
        <w:rPr>
          <w:b w:val="0"/>
        </w:rPr>
        <w:t>L of 2 M acetate buffer were added to a 40 mL autosampler vial and analyzed with a MERX-M Autosampler-analyzer (Brooks Rand). Briefly, the analytical method consists of purging the autosampler vial with N</w:t>
      </w:r>
      <w:r w:rsidRPr="00027CD0">
        <w:rPr>
          <w:b w:val="0"/>
          <w:vertAlign w:val="subscript"/>
        </w:rPr>
        <w:t>2</w:t>
      </w:r>
      <w:r>
        <w:rPr>
          <w:b w:val="0"/>
        </w:rPr>
        <w:t xml:space="preserve">, releasing volatile ethylated Hg compounds into a GC column for separation, followed by thermal decomposition and analysis by CVAFS </w:t>
      </w:r>
      <w:r w:rsidRPr="00744BE8">
        <w:rPr>
          <w:b w:val="0"/>
        </w:rPr>
        <w:fldChar w:fldCharType="begin"/>
      </w:r>
      <w:r w:rsidR="002160C6">
        <w:rPr>
          <w:b w:val="0"/>
        </w:rPr>
        <w:instrText xml:space="preserve"> ADDIN EN.CITE &lt;EndNote&gt;&lt;Cite&gt;&lt;Author&gt;Horvat&lt;/Author&gt;&lt;Year&gt;1993&lt;/Year&gt;&lt;RecNum&gt;3798&lt;/RecNum&gt;&lt;DisplayText&gt;(Horvat et al., 1993; Olson et al., 1997)&lt;/DisplayText&gt;&lt;record&gt;&lt;rec-number&gt;3798&lt;/rec-number&gt;&lt;foreign-keys&gt;&lt;key app="EN" db-id="29tf2ez5ssvd0mes5tux0wdox9st5tdt02zx" timestamp="0"&gt;3798&lt;/key&gt;&lt;/foreign-keys&gt;&lt;ref-type name="Journal Article"&gt;17&lt;/ref-type&gt;&lt;contributors&gt;&lt;authors&gt;&lt;author&gt;Horvat, M.&lt;/author&gt;&lt;author&gt;Liang, L.&lt;/author&gt;&lt;author&gt;Bloom, N.S.&lt;/author&gt;&lt;/authors&gt;&lt;/contributors&gt;&lt;titles&gt;&lt;title&gt;Comparison of distillation with other current isolation methods for the determination of methyl mercury compounds in low level environmental samples. Part II. Water&lt;/title&gt;&lt;secondary-title&gt;Analytica Chimica Acta&lt;/secondary-title&gt;&lt;/titles&gt;&lt;periodical&gt;&lt;full-title&gt;Analytica Chimica Acta&lt;/full-title&gt;&lt;abbr-1&gt;Anal. Chim. Acta&lt;/abbr-1&gt;&lt;/periodical&gt;&lt;pages&gt;153-168&lt;/pages&gt;&lt;volume&gt;282&lt;/volume&gt;&lt;dates&gt;&lt;year&gt;1993&lt;/year&gt;&lt;/dates&gt;&lt;urls&gt;&lt;/urls&gt;&lt;/record&gt;&lt;/Cite&gt;&lt;Cite&gt;&lt;Author&gt;Olson&lt;/Author&gt;&lt;Year&gt;1997&lt;/Year&gt;&lt;RecNum&gt;4139&lt;/RecNum&gt;&lt;record&gt;&lt;rec-number&gt;4139&lt;/rec-number&gt;&lt;foreign-keys&gt;&lt;key app="EN" db-id="29tf2ez5ssvd0mes5tux0wdox9st5tdt02zx" timestamp="0"&gt;4139&lt;/key&gt;&lt;/foreign-keys&gt;&lt;ref-type name="Journal Article"&gt;17&lt;/ref-type&gt;&lt;contributors&gt;&lt;authors&gt;&lt;author&gt;Olson, M.L.&lt;/author&gt;&lt;author&gt;Cleckner, L.B.&lt;/author&gt;&lt;author&gt;Hurley J.P.&lt;/author&gt;&lt;author&gt;Krabbenhoft, D.P.&lt;/author&gt;&lt;author&gt;Heelan, T.W.&lt;/author&gt;&lt;/authors&gt;&lt;/contributors&gt;&lt;titles&gt;&lt;title&gt;Resolution of matrix effects on analysis of total and methyl mercury in aqueous samples from the Florida Everglades&lt;/title&gt;&lt;secondary-title&gt;Fresenius Journal of Analytical Chemistry&lt;/secondary-title&gt;&lt;/titles&gt;&lt;periodical&gt;&lt;full-title&gt;Fresenius Journal of Analytical Chemistry&lt;/full-title&gt;&lt;abbr-1&gt;Fresenius J. Anal. Chem.&lt;/abbr-1&gt;&lt;/periodical&gt;&lt;pages&gt;392-396&lt;/pages&gt;&lt;volume&gt;358&lt;/volume&gt;&lt;dates&gt;&lt;year&gt;1997&lt;/year&gt;&lt;/dates&gt;&lt;urls&gt;&lt;/urls&gt;&lt;/record&gt;&lt;/Cite&gt;&lt;/EndNote&gt;</w:instrText>
      </w:r>
      <w:r w:rsidRPr="00744BE8">
        <w:rPr>
          <w:b w:val="0"/>
        </w:rPr>
        <w:fldChar w:fldCharType="separate"/>
      </w:r>
      <w:r w:rsidR="002160C6">
        <w:rPr>
          <w:b w:val="0"/>
          <w:noProof/>
        </w:rPr>
        <w:t>(Horvat et al., 1993; Olson et al., 1997)</w:t>
      </w:r>
      <w:r w:rsidRPr="00744BE8">
        <w:rPr>
          <w:b w:val="0"/>
        </w:rPr>
        <w:fldChar w:fldCharType="end"/>
      </w:r>
      <w:r w:rsidRPr="00744BE8">
        <w:t>.</w:t>
      </w:r>
    </w:p>
    <w:p w14:paraId="7E9BC7F7" w14:textId="77777777" w:rsidR="00485F92" w:rsidRDefault="00485F92" w:rsidP="00485F92">
      <w:pPr>
        <w:pStyle w:val="BodyText"/>
        <w:jc w:val="left"/>
        <w:rPr>
          <w:b w:val="0"/>
        </w:rPr>
      </w:pPr>
    </w:p>
    <w:p w14:paraId="395338AE" w14:textId="77777777" w:rsidR="00485F92" w:rsidRPr="007C522D" w:rsidRDefault="00485F92" w:rsidP="00485F92">
      <w:pPr>
        <w:pStyle w:val="BodyText"/>
        <w:jc w:val="left"/>
        <w:rPr>
          <w:b w:val="0"/>
          <w:vertAlign w:val="superscript"/>
        </w:rPr>
      </w:pPr>
      <w:r>
        <w:rPr>
          <w:b w:val="0"/>
        </w:rPr>
        <w:t>For sediment Hg</w:t>
      </w:r>
      <w:r>
        <w:rPr>
          <w:b w:val="0"/>
          <w:vertAlign w:val="subscript"/>
        </w:rPr>
        <w:t>T</w:t>
      </w:r>
      <w:r>
        <w:rPr>
          <w:b w:val="0"/>
        </w:rPr>
        <w:t>, method precision (relative standard deviation, RSD) based on triplicate analyses averaged 4.6%, recovery from spiked samples averaged 94%, and mean Hg</w:t>
      </w:r>
      <w:r>
        <w:rPr>
          <w:b w:val="0"/>
          <w:vertAlign w:val="subscript"/>
        </w:rPr>
        <w:t>T</w:t>
      </w:r>
      <w:r>
        <w:rPr>
          <w:b w:val="0"/>
        </w:rPr>
        <w:t xml:space="preserve"> concentration measured on MESS-3, a standard reference material (SRM), was within the certified range (91 ± 9 ng/g) (Table 1). For MeHg in sediments the mean RSD for three duplicate samples was 4.3%, while the RSD for a single triplicate sample near the detection limit was 25.2%. Mean recovery of MeHg from samples spiked prior to analysis was 109%.</w:t>
      </w:r>
    </w:p>
    <w:p w14:paraId="48B23F0E" w14:textId="77777777" w:rsidR="00485F92" w:rsidRDefault="00485F92" w:rsidP="00485F92">
      <w:pPr>
        <w:pStyle w:val="BodyText"/>
        <w:jc w:val="left"/>
        <w:rPr>
          <w:b w:val="0"/>
        </w:rPr>
      </w:pPr>
    </w:p>
    <w:p w14:paraId="7929DFBD" w14:textId="77777777" w:rsidR="00485F92" w:rsidRPr="007C522D" w:rsidRDefault="00485F92" w:rsidP="00485F92">
      <w:pPr>
        <w:pStyle w:val="BodyText"/>
        <w:jc w:val="left"/>
        <w:rPr>
          <w:b w:val="0"/>
          <w:vertAlign w:val="superscript"/>
        </w:rPr>
      </w:pPr>
      <w:r w:rsidRPr="007C522D">
        <w:rPr>
          <w:b w:val="0"/>
          <w:i/>
        </w:rPr>
        <w:t>Fish</w:t>
      </w:r>
      <w:r w:rsidRPr="007C522D">
        <w:rPr>
          <w:b w:val="0"/>
        </w:rPr>
        <w:t xml:space="preserve">: </w:t>
      </w:r>
      <w:r>
        <w:rPr>
          <w:b w:val="0"/>
        </w:rPr>
        <w:t xml:space="preserve">Fish samples were processed and analyzed in a manner identical to sediments, except that the analytical mass was 0.020-0.050 g. Only total Hg was analyzed, as it is widely assumed that </w:t>
      </w:r>
      <w:r>
        <w:rPr>
          <w:b w:val="0"/>
        </w:rPr>
        <w:lastRenderedPageBreak/>
        <w:t>nearly 100% of fish-Hg is present as MeHg. Data are reported as whole-body concentrations (wet weight). Method precision (RSD) from triplicate analyses of homogenized fish averaged 3.9%, mean recovery of Hg from spiked samples was 91%, and average Hg</w:t>
      </w:r>
      <w:r>
        <w:rPr>
          <w:b w:val="0"/>
          <w:vertAlign w:val="subscript"/>
        </w:rPr>
        <w:t>T</w:t>
      </w:r>
      <w:r>
        <w:rPr>
          <w:b w:val="0"/>
        </w:rPr>
        <w:t xml:space="preserve"> concentrations measured on two SRMs (368 ng/g </w:t>
      </w:r>
      <w:proofErr w:type="spellStart"/>
      <w:r>
        <w:rPr>
          <w:b w:val="0"/>
        </w:rPr>
        <w:t>dw</w:t>
      </w:r>
      <w:proofErr w:type="spellEnd"/>
      <w:r>
        <w:rPr>
          <w:b w:val="0"/>
        </w:rPr>
        <w:t xml:space="preserve"> DORM-3 and 2636 ng/g </w:t>
      </w:r>
      <w:proofErr w:type="spellStart"/>
      <w:r>
        <w:rPr>
          <w:b w:val="0"/>
        </w:rPr>
        <w:t>dw</w:t>
      </w:r>
      <w:proofErr w:type="spellEnd"/>
      <w:r>
        <w:rPr>
          <w:b w:val="0"/>
        </w:rPr>
        <w:t xml:space="preserve"> DOLT-4) were well within the certified </w:t>
      </w:r>
      <w:r w:rsidR="009169A8">
        <w:rPr>
          <w:b w:val="0"/>
        </w:rPr>
        <w:t xml:space="preserve">95% confidence interval </w:t>
      </w:r>
      <w:r>
        <w:rPr>
          <w:b w:val="0"/>
        </w:rPr>
        <w:t xml:space="preserve">ranges (382 ± 60 and 2636 ± 220 ng/g </w:t>
      </w:r>
      <w:proofErr w:type="spellStart"/>
      <w:r>
        <w:rPr>
          <w:b w:val="0"/>
        </w:rPr>
        <w:t>dw</w:t>
      </w:r>
      <w:proofErr w:type="spellEnd"/>
      <w:r>
        <w:rPr>
          <w:b w:val="0"/>
        </w:rPr>
        <w:t>, respectively) (Table 1). All concentrations exceeded the method detection limit</w:t>
      </w:r>
      <w:r w:rsidR="00DE672D">
        <w:rPr>
          <w:b w:val="0"/>
        </w:rPr>
        <w:t>s for Hg</w:t>
      </w:r>
      <w:r w:rsidR="00DE672D">
        <w:rPr>
          <w:b w:val="0"/>
          <w:vertAlign w:val="subscript"/>
        </w:rPr>
        <w:t>T</w:t>
      </w:r>
      <w:r w:rsidR="00DE672D">
        <w:rPr>
          <w:b w:val="0"/>
        </w:rPr>
        <w:t xml:space="preserve"> and MeHg</w:t>
      </w:r>
      <w:r>
        <w:rPr>
          <w:b w:val="0"/>
        </w:rPr>
        <w:t>.</w:t>
      </w:r>
    </w:p>
    <w:p w14:paraId="567945D4" w14:textId="77777777" w:rsidR="00485F92" w:rsidRDefault="00485F92" w:rsidP="00485F92">
      <w:pPr>
        <w:pStyle w:val="BodyText"/>
        <w:jc w:val="left"/>
        <w:rPr>
          <w:b w:val="0"/>
        </w:rPr>
      </w:pPr>
    </w:p>
    <w:p w14:paraId="0578ACB6" w14:textId="77777777" w:rsidR="00485F92" w:rsidRDefault="00485F92" w:rsidP="00485F92">
      <w:pPr>
        <w:pStyle w:val="BodyText"/>
        <w:jc w:val="left"/>
        <w:rPr>
          <w:b w:val="0"/>
        </w:rPr>
      </w:pPr>
      <w:r w:rsidRPr="00744BE8">
        <w:rPr>
          <w:b w:val="0"/>
          <w:i/>
        </w:rPr>
        <w:t>Amphipods</w:t>
      </w:r>
      <w:r w:rsidRPr="00744BE8">
        <w:rPr>
          <w:b w:val="0"/>
        </w:rPr>
        <w:t>:</w:t>
      </w:r>
      <w:r w:rsidRPr="00504B86">
        <w:t xml:space="preserve">  </w:t>
      </w:r>
      <w:r>
        <w:rPr>
          <w:b w:val="0"/>
        </w:rPr>
        <w:t>Both Hg</w:t>
      </w:r>
      <w:r>
        <w:rPr>
          <w:b w:val="0"/>
          <w:vertAlign w:val="subscript"/>
        </w:rPr>
        <w:t>T</w:t>
      </w:r>
      <w:r>
        <w:rPr>
          <w:b w:val="0"/>
        </w:rPr>
        <w:t xml:space="preserve"> and MeHg were determined in amphipod samples. For MeHg, 0.010-0.060 g of lyophilized, homogenized sample was added to a 22 mL Teflon vial, followed by 7.0 mL of 4.5 M HNO</w:t>
      </w:r>
      <w:r w:rsidRPr="00694D8B">
        <w:rPr>
          <w:b w:val="0"/>
          <w:vertAlign w:val="subscript"/>
        </w:rPr>
        <w:t>3</w:t>
      </w:r>
      <w:r>
        <w:rPr>
          <w:b w:val="0"/>
        </w:rPr>
        <w:t xml:space="preserve"> </w:t>
      </w:r>
      <w:r w:rsidRPr="00744BE8">
        <w:rPr>
          <w:b w:val="0"/>
        </w:rPr>
        <w:fldChar w:fldCharType="begin"/>
      </w:r>
      <w:r w:rsidR="002160C6">
        <w:rPr>
          <w:b w:val="0"/>
        </w:rPr>
        <w:instrText xml:space="preserve"> ADDIN EN.CITE &lt;EndNote&gt;&lt;Cite&gt;&lt;Author&gt;Hammerschmidt&lt;/Author&gt;&lt;Year&gt;2005&lt;/Year&gt;&lt;RecNum&gt;4051&lt;/RecNum&gt;&lt;Prefix&gt;adapted from &lt;/Prefix&gt;&lt;DisplayText&gt;(adapted from Hammerschmidt and Fitzgerald, 2005)&lt;/DisplayText&gt;&lt;record&gt;&lt;rec-number&gt;4051&lt;/rec-number&gt;&lt;foreign-keys&gt;&lt;key app="EN" db-id="29tf2ez5ssvd0mes5tux0wdox9st5tdt02zx" timestamp="0"&gt;4051&lt;/key&gt;&lt;/foreign-keys&gt;&lt;ref-type name="Journal Article"&gt;17&lt;/ref-type&gt;&lt;contributors&gt;&lt;authors&gt;&lt;author&gt;Hammerschmidt, C.R.&lt;/author&gt;&lt;author&gt;Fitzgerald, W.F.&lt;/author&gt;&lt;/authors&gt;&lt;/contributors&gt;&lt;titles&gt;&lt;title&gt;Methylmercury in mosquitoes related to atmospheric mercury deposition and contamination&lt;/title&gt;&lt;secondary-title&gt;Environmental Science &amp;amp; Technology&lt;/secondary-title&gt;&lt;/titles&gt;&lt;periodical&gt;&lt;full-title&gt;Environmental Science &amp;amp; Technology&lt;/full-title&gt;&lt;abbr-1&gt;Environ. Sci. Technol.&lt;/abbr-1&gt;&lt;/periodical&gt;&lt;pages&gt;3034-3039&lt;/pages&gt;&lt;volume&gt;39&lt;/volume&gt;&lt;dates&gt;&lt;year&gt;2005&lt;/year&gt;&lt;/dates&gt;&lt;urls&gt;&lt;/urls&gt;&lt;/record&gt;&lt;/Cite&gt;&lt;/EndNote&gt;</w:instrText>
      </w:r>
      <w:r w:rsidRPr="00744BE8">
        <w:rPr>
          <w:b w:val="0"/>
        </w:rPr>
        <w:fldChar w:fldCharType="separate"/>
      </w:r>
      <w:r w:rsidR="002160C6">
        <w:rPr>
          <w:b w:val="0"/>
          <w:noProof/>
        </w:rPr>
        <w:t>(adapted from Hammerschmidt and Fitzgerald, 2005)</w:t>
      </w:r>
      <w:r w:rsidRPr="00744BE8">
        <w:rPr>
          <w:b w:val="0"/>
        </w:rPr>
        <w:fldChar w:fldCharType="end"/>
      </w:r>
      <w:r>
        <w:rPr>
          <w:b w:val="0"/>
        </w:rPr>
        <w:t xml:space="preserve">. Samples were then digested at 60 </w:t>
      </w:r>
      <w:r w:rsidRPr="00694D8B">
        <w:rPr>
          <w:b w:val="0"/>
          <w:vertAlign w:val="superscript"/>
        </w:rPr>
        <w:t>o</w:t>
      </w:r>
      <w:r>
        <w:rPr>
          <w:b w:val="0"/>
        </w:rPr>
        <w:t xml:space="preserve">C for 12 h and allowed to cool. A 200-µL aliquot of sample, 200 µL of 4.5 M KOH, </w:t>
      </w:r>
      <w:r w:rsidR="001F5F61">
        <w:rPr>
          <w:b w:val="0"/>
        </w:rPr>
        <w:t>30-</w:t>
      </w:r>
      <w:r>
        <w:rPr>
          <w:b w:val="0"/>
        </w:rPr>
        <w:t xml:space="preserve">50 </w:t>
      </w:r>
      <w:r>
        <w:rPr>
          <w:b w:val="0"/>
        </w:rPr>
        <w:sym w:font="Symbol" w:char="F06D"/>
      </w:r>
      <w:r>
        <w:rPr>
          <w:b w:val="0"/>
        </w:rPr>
        <w:t xml:space="preserve">L of 1% (w/v) sodium </w:t>
      </w:r>
      <w:proofErr w:type="spellStart"/>
      <w:r>
        <w:rPr>
          <w:b w:val="0"/>
        </w:rPr>
        <w:t>tetraethylborate</w:t>
      </w:r>
      <w:proofErr w:type="spellEnd"/>
      <w:r>
        <w:rPr>
          <w:b w:val="0"/>
        </w:rPr>
        <w:t xml:space="preserve">, 400 </w:t>
      </w:r>
      <w:r>
        <w:rPr>
          <w:b w:val="0"/>
        </w:rPr>
        <w:sym w:font="Symbol" w:char="F06D"/>
      </w:r>
      <w:r>
        <w:rPr>
          <w:b w:val="0"/>
        </w:rPr>
        <w:t>L of 2 M acetate buffer, and deionized water were added to fill a 40 mL autosampler vial and analyzed with a MERX-M Autosampler-analyzer as described above.</w:t>
      </w:r>
    </w:p>
    <w:p w14:paraId="01867BAB" w14:textId="77777777" w:rsidR="00485F92" w:rsidRDefault="00485F92" w:rsidP="00485F92">
      <w:pPr>
        <w:pStyle w:val="BodyText"/>
        <w:jc w:val="left"/>
        <w:rPr>
          <w:b w:val="0"/>
        </w:rPr>
      </w:pPr>
    </w:p>
    <w:p w14:paraId="1F42EF6B" w14:textId="77777777" w:rsidR="00485F92" w:rsidRDefault="00485F92" w:rsidP="00485F92">
      <w:pPr>
        <w:pStyle w:val="BodyText"/>
        <w:jc w:val="left"/>
        <w:rPr>
          <w:b w:val="0"/>
        </w:rPr>
      </w:pPr>
      <w:r>
        <w:rPr>
          <w:b w:val="0"/>
        </w:rPr>
        <w:t>Hg</w:t>
      </w:r>
      <w:r>
        <w:rPr>
          <w:b w:val="0"/>
          <w:vertAlign w:val="subscript"/>
        </w:rPr>
        <w:t>T</w:t>
      </w:r>
      <w:r>
        <w:rPr>
          <w:b w:val="0"/>
        </w:rPr>
        <w:t xml:space="preserve"> was determined by analyzing a sub-sample of the same digestate used for MeHg analysis. The digestate was oxidized by adding 2.0 mL of 0.2 M </w:t>
      </w:r>
      <w:proofErr w:type="spellStart"/>
      <w:r>
        <w:rPr>
          <w:b w:val="0"/>
        </w:rPr>
        <w:t>BrCl</w:t>
      </w:r>
      <w:proofErr w:type="spellEnd"/>
      <w:r>
        <w:rPr>
          <w:b w:val="0"/>
        </w:rPr>
        <w:t xml:space="preserve"> to the vial, followed by heating at 40 </w:t>
      </w:r>
      <w:r w:rsidRPr="00A8019D">
        <w:rPr>
          <w:b w:val="0"/>
          <w:vertAlign w:val="superscript"/>
        </w:rPr>
        <w:t>o</w:t>
      </w:r>
      <w:r>
        <w:rPr>
          <w:b w:val="0"/>
        </w:rPr>
        <w:t xml:space="preserve">C for 12 h. After cooling, 1.0 mL of 12% w/v hydroxylamine hydrochloride was added and the digestate gently swirled until a color change was observed. A 1.0-mL aliquot was then added to a 40 mL MERX-T autosampler vial, followed by 100 µL of 12% w/v stannous chloride, and enough deionized water to fill the vial approximately half-full. The samples were then analyzed with a MERX-T autosampler instrument (Brooks Rand). Briefly, the elemental Hg liberated by Sn reduction is purged onto gold-coated sand traps, followed by CVAFS analysis. </w:t>
      </w:r>
    </w:p>
    <w:p w14:paraId="65E79A5C" w14:textId="77777777" w:rsidR="00485F92" w:rsidRDefault="00485F92" w:rsidP="00485F92">
      <w:pPr>
        <w:pStyle w:val="BodyText"/>
        <w:jc w:val="left"/>
        <w:rPr>
          <w:b w:val="0"/>
        </w:rPr>
      </w:pPr>
    </w:p>
    <w:p w14:paraId="0119B380" w14:textId="77777777" w:rsidR="00485F92" w:rsidRPr="007C522D" w:rsidRDefault="00485F92" w:rsidP="00485F92">
      <w:pPr>
        <w:pStyle w:val="BodyText"/>
        <w:jc w:val="left"/>
        <w:rPr>
          <w:b w:val="0"/>
        </w:rPr>
      </w:pPr>
      <w:r>
        <w:rPr>
          <w:b w:val="0"/>
        </w:rPr>
        <w:t>Analytical results for analysis of Hg in amphipods was of similar quality to that for sediments and fish. Mean RSD on triplicate analyses was 1.2% for Hg</w:t>
      </w:r>
      <w:r>
        <w:rPr>
          <w:b w:val="0"/>
          <w:vertAlign w:val="subscript"/>
        </w:rPr>
        <w:t>T</w:t>
      </w:r>
      <w:r>
        <w:rPr>
          <w:b w:val="0"/>
        </w:rPr>
        <w:t xml:space="preserve"> and 9.8% for MeHg, recovery on spiked samples averaged 102% for Hg</w:t>
      </w:r>
      <w:r>
        <w:rPr>
          <w:b w:val="0"/>
          <w:vertAlign w:val="subscript"/>
        </w:rPr>
        <w:t>T</w:t>
      </w:r>
      <w:r>
        <w:rPr>
          <w:b w:val="0"/>
        </w:rPr>
        <w:t xml:space="preserve"> and</w:t>
      </w:r>
      <w:r w:rsidRPr="007C522D">
        <w:rPr>
          <w:b w:val="0"/>
        </w:rPr>
        <w:t xml:space="preserve"> </w:t>
      </w:r>
      <w:r>
        <w:rPr>
          <w:b w:val="0"/>
        </w:rPr>
        <w:t>116% for MeHg, and mean concentrations on two SRMs (MUSS-2976 and TORT-2) were within the certified range for both Hg</w:t>
      </w:r>
      <w:r>
        <w:rPr>
          <w:b w:val="0"/>
          <w:vertAlign w:val="subscript"/>
        </w:rPr>
        <w:t>T</w:t>
      </w:r>
      <w:r>
        <w:rPr>
          <w:b w:val="0"/>
        </w:rPr>
        <w:t xml:space="preserve"> (61.0 ± 3.6 and 279 ± 60 ng/g </w:t>
      </w:r>
      <w:proofErr w:type="spellStart"/>
      <w:r>
        <w:rPr>
          <w:b w:val="0"/>
        </w:rPr>
        <w:t>dw</w:t>
      </w:r>
      <w:proofErr w:type="spellEnd"/>
      <w:r>
        <w:rPr>
          <w:b w:val="0"/>
        </w:rPr>
        <w:t xml:space="preserve">, respectively) and </w:t>
      </w:r>
      <w:proofErr w:type="spellStart"/>
      <w:r>
        <w:rPr>
          <w:b w:val="0"/>
        </w:rPr>
        <w:t>MeHg</w:t>
      </w:r>
      <w:proofErr w:type="spellEnd"/>
      <w:r>
        <w:rPr>
          <w:b w:val="0"/>
        </w:rPr>
        <w:t xml:space="preserve"> (27.8 ± 1.1 ng/g </w:t>
      </w:r>
      <w:proofErr w:type="spellStart"/>
      <w:r>
        <w:rPr>
          <w:b w:val="0"/>
        </w:rPr>
        <w:t>dw</w:t>
      </w:r>
      <w:proofErr w:type="spellEnd"/>
      <w:r>
        <w:rPr>
          <w:b w:val="0"/>
        </w:rPr>
        <w:t xml:space="preserve"> and 152 ± 13 ng/g, respectively). All concentrations exceeded our calculated detection limits (Table 1).</w:t>
      </w:r>
    </w:p>
    <w:p w14:paraId="5207D8DE" w14:textId="77777777" w:rsidR="00485F92" w:rsidRDefault="00485F92" w:rsidP="00485F92">
      <w:pPr>
        <w:pStyle w:val="BodyText"/>
        <w:jc w:val="left"/>
        <w:rPr>
          <w:b w:val="0"/>
        </w:rPr>
      </w:pPr>
    </w:p>
    <w:p w14:paraId="12178C4D" w14:textId="77777777" w:rsidR="00485F92" w:rsidRDefault="00485F92" w:rsidP="00485F92">
      <w:pPr>
        <w:pStyle w:val="BodyText"/>
        <w:jc w:val="left"/>
        <w:rPr>
          <w:b w:val="0"/>
        </w:rPr>
      </w:pPr>
      <w:r>
        <w:rPr>
          <w:b w:val="0"/>
          <w:i/>
        </w:rPr>
        <w:t>Water chemistry</w:t>
      </w:r>
      <w:r>
        <w:rPr>
          <w:b w:val="0"/>
        </w:rPr>
        <w:t xml:space="preserve">:  Unfiltered, whole water samples were measured for major </w:t>
      </w:r>
      <w:proofErr w:type="spellStart"/>
      <w:r>
        <w:rPr>
          <w:b w:val="0"/>
        </w:rPr>
        <w:t>cations</w:t>
      </w:r>
      <w:proofErr w:type="spellEnd"/>
      <w:r>
        <w:rPr>
          <w:b w:val="0"/>
        </w:rPr>
        <w:t xml:space="preserve"> (Ca, Mg, Na, K), total-Si, and minor elements (Sr, Ba), by inductively coupled </w:t>
      </w:r>
      <w:r w:rsidR="00581775">
        <w:rPr>
          <w:b w:val="0"/>
        </w:rPr>
        <w:t xml:space="preserve">plasma </w:t>
      </w:r>
      <w:r>
        <w:rPr>
          <w:b w:val="0"/>
        </w:rPr>
        <w:t>mass-spectrometry (ICP-MS). Filtered subsamples for anions (SO</w:t>
      </w:r>
      <w:r>
        <w:rPr>
          <w:b w:val="0"/>
          <w:vertAlign w:val="subscript"/>
        </w:rPr>
        <w:t>4</w:t>
      </w:r>
      <w:r w:rsidR="001C12F8">
        <w:rPr>
          <w:b w:val="0"/>
          <w:vertAlign w:val="superscript"/>
        </w:rPr>
        <w:t>2-</w:t>
      </w:r>
      <w:r>
        <w:rPr>
          <w:b w:val="0"/>
        </w:rPr>
        <w:t>, Cl</w:t>
      </w:r>
      <w:r w:rsidR="001C12F8">
        <w:rPr>
          <w:b w:val="0"/>
          <w:vertAlign w:val="superscript"/>
        </w:rPr>
        <w:t>-</w:t>
      </w:r>
      <w:r>
        <w:rPr>
          <w:b w:val="0"/>
        </w:rPr>
        <w:t>, F</w:t>
      </w:r>
      <w:r w:rsidR="001C12F8">
        <w:rPr>
          <w:b w:val="0"/>
          <w:vertAlign w:val="superscript"/>
        </w:rPr>
        <w:t>-</w:t>
      </w:r>
      <w:r>
        <w:rPr>
          <w:b w:val="0"/>
        </w:rPr>
        <w:t>, PO</w:t>
      </w:r>
      <w:r>
        <w:rPr>
          <w:b w:val="0"/>
          <w:vertAlign w:val="subscript"/>
        </w:rPr>
        <w:t>4</w:t>
      </w:r>
      <w:r w:rsidR="001C12F8">
        <w:rPr>
          <w:b w:val="0"/>
          <w:vertAlign w:val="superscript"/>
        </w:rPr>
        <w:t>3-</w:t>
      </w:r>
      <w:r w:rsidR="001C12F8">
        <w:rPr>
          <w:b w:val="0"/>
        </w:rPr>
        <w:t xml:space="preserve">, </w:t>
      </w:r>
      <w:r>
        <w:rPr>
          <w:b w:val="0"/>
        </w:rPr>
        <w:t>NO</w:t>
      </w:r>
      <w:r w:rsidR="001C12F8">
        <w:rPr>
          <w:b w:val="0"/>
          <w:vertAlign w:val="subscript"/>
        </w:rPr>
        <w:t>3</w:t>
      </w:r>
      <w:r w:rsidR="001C12F8">
        <w:rPr>
          <w:b w:val="0"/>
          <w:vertAlign w:val="superscript"/>
        </w:rPr>
        <w:t>-</w:t>
      </w:r>
      <w:r>
        <w:rPr>
          <w:b w:val="0"/>
        </w:rPr>
        <w:t xml:space="preserve">) were measured by ion chromatography, and TOC was measured on a UV-persulfate carbon analyzer. Alkalinity was determined by fixed end-point titration. Method precision (mean RSD) was less than 1% for all anions except phosphate (3%), and less than 1% for TOC measurements and all elements measured by ICP-MS. RSD on duplicate alkalinity measurements averaged 5%. </w:t>
      </w:r>
    </w:p>
    <w:p w14:paraId="2C6E2823" w14:textId="77777777" w:rsidR="00485F92" w:rsidRPr="007C522D" w:rsidRDefault="00485F92">
      <w:pPr>
        <w:rPr>
          <w:b/>
        </w:rPr>
      </w:pPr>
    </w:p>
    <w:p w14:paraId="1906891B" w14:textId="77777777" w:rsidR="00485F92" w:rsidRPr="00CF26B6" w:rsidRDefault="00485F92" w:rsidP="00485F92">
      <w:pPr>
        <w:keepNext/>
        <w:rPr>
          <w:b/>
        </w:rPr>
      </w:pPr>
      <w:r w:rsidRPr="00CF26B6">
        <w:rPr>
          <w:b/>
        </w:rPr>
        <w:t>RESULTS</w:t>
      </w:r>
    </w:p>
    <w:p w14:paraId="2AC681BD" w14:textId="77777777" w:rsidR="00485F92" w:rsidRPr="00CF26B6" w:rsidRDefault="00485F92" w:rsidP="00485F92">
      <w:pPr>
        <w:keepNext/>
        <w:rPr>
          <w:b/>
        </w:rPr>
      </w:pPr>
    </w:p>
    <w:p w14:paraId="1C6BFA97" w14:textId="77777777" w:rsidR="00485F92" w:rsidRPr="00744BE8" w:rsidRDefault="00485F92" w:rsidP="00485F92">
      <w:pPr>
        <w:keepNext/>
        <w:rPr>
          <w:b/>
          <w:i/>
        </w:rPr>
      </w:pPr>
      <w:r w:rsidRPr="00744BE8">
        <w:rPr>
          <w:b/>
          <w:i/>
        </w:rPr>
        <w:t>Site Conditions</w:t>
      </w:r>
    </w:p>
    <w:p w14:paraId="75793EE8" w14:textId="77777777" w:rsidR="00485F92" w:rsidRDefault="00485F92">
      <w:r>
        <w:t>Four sampling stations established in each of the two pools were visited twice in each of the three study years for collection of samples for Hg analysis. At the same time</w:t>
      </w:r>
      <w:r w:rsidR="00580408">
        <w:t>,</w:t>
      </w:r>
      <w:r>
        <w:t xml:space="preserve"> field parameters were measured and water samples collected to assess background environmental conditions. The study design called for two replicate sites to be established at “deep” and “shallow” locations in </w:t>
      </w:r>
      <w:r>
        <w:lastRenderedPageBreak/>
        <w:t>each pool. Water depths (prior to drawdown of the Agassiz Pool) were between 0.75 and 0.95 m at the deep sites, and between 0.5 and 0.6 m at the shallow sites (Fig. 1), with the exception of one shallow site in Headquarters (HQ) Pool which was moved into deeper water on the second sampling date in 2009. With the drawdown of the Agassiz (AG) Pool in 2010, the two shallow sites became effectively dry (though the mud surface remained wet at times), while the two deep sites saw water levels drop to 0.2-0.3 m. Water levels rebounded at the AG sample sites when the pool was re-flooded in 2011, but to shallower depths than present in 2009 prior to drawdown. Water temperature at the time of each sampling was similar between the two pools, but varied seasonally, with warmest conditions in early August-2010 (26-27° C) and coolest during site visit in September-2010 (13.4-16.6° C) (Fig. 1). Dissolved oxygen followed a generally opposite trend with temperature, with lowest values in August 2010 and late July 2011 (Fig. 1). The 2011 DO values were especially low at the shallow AG sites (~1 ppm), possible reflecting increased oxygen demand associated with re-flooding.</w:t>
      </w:r>
    </w:p>
    <w:p w14:paraId="476F3222" w14:textId="77777777" w:rsidR="00485F92" w:rsidRDefault="00485F92"/>
    <w:p w14:paraId="0FE312E7" w14:textId="7A3DDA74" w:rsidR="00485F92" w:rsidRDefault="00485F92">
      <w:r>
        <w:t xml:space="preserve">Water chemistry showed some differences between the two pools, with HQ having higher dissolved solids overall (Table 2, Fig. 1). Conductivity, representing general ionic strength, was 400 ± 67 µS/cm (mean ± 1 </w:t>
      </w:r>
      <w:proofErr w:type="spellStart"/>
      <w:r>
        <w:t>s.d.</w:t>
      </w:r>
      <w:proofErr w:type="spellEnd"/>
      <w:r>
        <w:t>) in AG and 652 ± 105 µS/cm in HQ, but varied from year to year such that on some sampling dates the two pools were more similar (e.g. 9/16/10). Alkalinity and other major ions showed parallel trends with conductivity, rising in AG with the drawdown in 2010 and declining in HQ that same year. The average alkalinity during the entire study period was 115 ± 21 mg CaCO</w:t>
      </w:r>
      <w:r>
        <w:rPr>
          <w:vertAlign w:val="subscript"/>
        </w:rPr>
        <w:t>3</w:t>
      </w:r>
      <w:r>
        <w:t>/L in AG and 159 ± 24 mg CaCO</w:t>
      </w:r>
      <w:r>
        <w:rPr>
          <w:vertAlign w:val="subscript"/>
        </w:rPr>
        <w:t>3</w:t>
      </w:r>
      <w:r>
        <w:t>/L in HQ. Among major ions, Ca</w:t>
      </w:r>
      <w:r>
        <w:rPr>
          <w:vertAlign w:val="superscript"/>
        </w:rPr>
        <w:t>+2</w:t>
      </w:r>
      <w:r>
        <w:t xml:space="preserve"> in HQ was about twice that in AG (94 vs. 46 ppm), while SO</w:t>
      </w:r>
      <w:r>
        <w:rPr>
          <w:vertAlign w:val="subscript"/>
        </w:rPr>
        <w:t>4</w:t>
      </w:r>
      <w:r>
        <w:rPr>
          <w:vertAlign w:val="superscript"/>
        </w:rPr>
        <w:t>-2</w:t>
      </w:r>
      <w:r>
        <w:t>, an important control on mercury methylation, was 80 ± 30 ppm in AG and 182 ± 59 in HQ.</w:t>
      </w:r>
      <w:r w:rsidR="00B95F22">
        <w:t xml:space="preserve"> </w:t>
      </w:r>
      <w:r w:rsidR="00A05349">
        <w:t>These sulfate levels are</w:t>
      </w:r>
      <w:r w:rsidR="00B95F22">
        <w:t xml:space="preserve"> typical </w:t>
      </w:r>
      <w:r w:rsidR="00F243D6">
        <w:t>of</w:t>
      </w:r>
      <w:r w:rsidR="00B95F22">
        <w:t xml:space="preserve"> </w:t>
      </w:r>
      <w:r w:rsidR="00A05349">
        <w:t>surface waters</w:t>
      </w:r>
      <w:r w:rsidR="00B95F22">
        <w:t xml:space="preserve"> in western Minnesota</w:t>
      </w:r>
      <w:r w:rsidR="00A05349">
        <w:t xml:space="preserve"> but</w:t>
      </w:r>
      <w:r w:rsidR="00F243D6">
        <w:t xml:space="preserve"> more than</w:t>
      </w:r>
      <w:r w:rsidR="00B95F22">
        <w:t xml:space="preserve"> order of magnitude greater than </w:t>
      </w:r>
      <w:r w:rsidR="00F243D6">
        <w:t xml:space="preserve">those in boreal lakes and wetlands immediately to the east </w:t>
      </w:r>
      <w:r w:rsidR="002160C6">
        <w:fldChar w:fldCharType="begin"/>
      </w:r>
      <w:r w:rsidR="002160C6">
        <w:instrText xml:space="preserve"> ADDIN EN.CITE &lt;EndNote&gt;&lt;Cite&gt;&lt;Author&gt;Gorham&lt;/Author&gt;&lt;Year&gt;1983&lt;/Year&gt;&lt;RecNum&gt;102&lt;/RecNum&gt;&lt;DisplayText&gt;(Gorham et al., 1983)&lt;/DisplayText&gt;&lt;record&gt;&lt;rec-number&gt;102&lt;/rec-number&gt;&lt;foreign-keys&gt;&lt;key app="EN" db-id="29tf2ez5ssvd0mes5tux0wdox9st5tdt02zx" timestamp="0"&gt;102&lt;/key&gt;&lt;/foreign-keys&gt;&lt;ref-type name="Journal Article"&gt;17&lt;/ref-type&gt;&lt;contributors&gt;&lt;authors&gt;&lt;author&gt;Gorham, E.&lt;/author&gt;&lt;author&gt;Dean, W.E.&lt;/author&gt;&lt;author&gt;Sanger, J.E.&lt;/author&gt;&lt;/authors&gt;&lt;/contributors&gt;&lt;titles&gt;&lt;title&gt;The chemical composition of lakes in the north-central United States&lt;/title&gt;&lt;secondary-title&gt;Limnol. Oceanogr.&lt;/secondary-title&gt;&lt;alt-title&gt;Limnology and Oceanography&lt;/alt-title&gt;&lt;/titles&gt;&lt;periodical&gt;&lt;full-title&gt;Limnology and Oceanography&lt;/full-title&gt;&lt;abbr-1&gt;Limnol. Oceanogr.&lt;/abbr-1&gt;&lt;/periodical&gt;&lt;alt-periodical&gt;&lt;full-title&gt;Limnology and Oceanography&lt;/full-title&gt;&lt;abbr-1&gt;Limnol. Oceanogr.&lt;/abbr-1&gt;&lt;/alt-periodical&gt;&lt;pages&gt;287-301&lt;/pages&gt;&lt;volume&gt;28&lt;/volume&gt;&lt;number&gt;2&lt;/number&gt;&lt;dates&gt;&lt;year&gt;1983&lt;/year&gt;&lt;/dates&gt;&lt;urls&gt;&lt;/urls&gt;&lt;/record&gt;&lt;/Cite&gt;&lt;/EndNote&gt;</w:instrText>
      </w:r>
      <w:r w:rsidR="002160C6">
        <w:fldChar w:fldCharType="separate"/>
      </w:r>
      <w:r w:rsidR="002160C6">
        <w:rPr>
          <w:noProof/>
        </w:rPr>
        <w:t>(Gorham et al., 1983)</w:t>
      </w:r>
      <w:r w:rsidR="002160C6">
        <w:fldChar w:fldCharType="end"/>
      </w:r>
      <w:r w:rsidR="00F243D6">
        <w:t>.</w:t>
      </w:r>
      <w:r w:rsidR="000F22A5">
        <w:t xml:space="preserve"> </w:t>
      </w:r>
    </w:p>
    <w:p w14:paraId="1558E583" w14:textId="77777777" w:rsidR="00485F92" w:rsidRDefault="00485F92"/>
    <w:p w14:paraId="0E6991E8" w14:textId="77777777" w:rsidR="00485F92" w:rsidRPr="00744BE8" w:rsidRDefault="00485F92" w:rsidP="00153F02">
      <w:pPr>
        <w:keepNext/>
        <w:rPr>
          <w:b/>
          <w:i/>
        </w:rPr>
      </w:pPr>
      <w:r w:rsidRPr="00744BE8">
        <w:rPr>
          <w:b/>
          <w:i/>
        </w:rPr>
        <w:t>Mercury Trends</w:t>
      </w:r>
    </w:p>
    <w:p w14:paraId="030F376B" w14:textId="77777777" w:rsidR="00485F92" w:rsidRPr="00CF26B6" w:rsidRDefault="00485F92">
      <w:r w:rsidRPr="00CF26B6">
        <w:t>Concentrations of methylmercury (MeHg) in brook sticklebacks (</w:t>
      </w:r>
      <w:proofErr w:type="spellStart"/>
      <w:r w:rsidRPr="00CF26B6">
        <w:rPr>
          <w:rStyle w:val="st"/>
          <w:i/>
        </w:rPr>
        <w:t>Culaea</w:t>
      </w:r>
      <w:proofErr w:type="spellEnd"/>
      <w:r w:rsidRPr="00CF26B6">
        <w:rPr>
          <w:rStyle w:val="st"/>
          <w:i/>
        </w:rPr>
        <w:t xml:space="preserve"> </w:t>
      </w:r>
      <w:proofErr w:type="spellStart"/>
      <w:r w:rsidRPr="00CF26B6">
        <w:rPr>
          <w:rStyle w:val="st"/>
          <w:i/>
        </w:rPr>
        <w:t>inconstans</w:t>
      </w:r>
      <w:proofErr w:type="spellEnd"/>
      <w:r w:rsidRPr="00CF26B6">
        <w:t>), amphipods (</w:t>
      </w:r>
      <w:proofErr w:type="spellStart"/>
      <w:r w:rsidRPr="00CF26B6">
        <w:rPr>
          <w:i/>
        </w:rPr>
        <w:t>Gammarus</w:t>
      </w:r>
      <w:proofErr w:type="spellEnd"/>
      <w:r w:rsidRPr="00CF26B6">
        <w:rPr>
          <w:i/>
        </w:rPr>
        <w:t xml:space="preserve"> </w:t>
      </w:r>
      <w:proofErr w:type="spellStart"/>
      <w:r w:rsidRPr="00CF26B6">
        <w:rPr>
          <w:i/>
        </w:rPr>
        <w:t>lacustris</w:t>
      </w:r>
      <w:proofErr w:type="spellEnd"/>
      <w:r w:rsidRPr="00CF26B6">
        <w:t>), and sediments differed between the two pools and showed marked trends over time, especially in AG where changes appear to be associated with management drawdown and re-flooding. MeHg levels were generally higher in HQ as compared to AG for all three compartments, but showed no significant changes between years. In contrast, MeHg levels in AG increased markedly in sediments, amphipods, and fish between 2009 and 2011, before and after water-level drawdown.</w:t>
      </w:r>
    </w:p>
    <w:p w14:paraId="79CDB7F1" w14:textId="77777777" w:rsidR="00485F92" w:rsidRPr="00CF26B6" w:rsidRDefault="00485F92"/>
    <w:p w14:paraId="6416A1F8" w14:textId="77777777" w:rsidR="00485F92" w:rsidRPr="00CF26B6" w:rsidRDefault="00485F92">
      <w:r w:rsidRPr="00CF26B6">
        <w:rPr>
          <w:i/>
        </w:rPr>
        <w:t>Sediments</w:t>
      </w:r>
      <w:r w:rsidRPr="00CF26B6">
        <w:t>:  Concentrations of total-Hg (Hg</w:t>
      </w:r>
      <w:r w:rsidRPr="00CF26B6">
        <w:rPr>
          <w:vertAlign w:val="subscript"/>
        </w:rPr>
        <w:t>T</w:t>
      </w:r>
      <w:r w:rsidRPr="00CF26B6">
        <w:t>) and MeHg in the surface sediments of both of the two pools showed substantial variability over time at each sampling station and on any given sampling date (Table 3). Part of this variability is a function of differences in sediment composition, particularly organic matter content, which varies with water depth, wave exposure, and other factors that affect the transport and deposition of sediments. Mercury is generally bound to fine-grained organic matter and is thus depleted in sediments that are high in coarse-grained mineral matter. This condition is illustrated for the ANWR pool sediments by the strong correlation between % loss-on-ignition (LOI) and Hg</w:t>
      </w:r>
      <w:r w:rsidRPr="00CF26B6">
        <w:rPr>
          <w:vertAlign w:val="subscript"/>
        </w:rPr>
        <w:t>T</w:t>
      </w:r>
      <w:r w:rsidRPr="00CF26B6">
        <w:t xml:space="preserve"> and MeHg concentrations for each of the three study years (Fig. 2). The relationship is weaker for %MeHg (the fraction of Hg</w:t>
      </w:r>
      <w:r w:rsidRPr="00CF26B6">
        <w:rPr>
          <w:vertAlign w:val="subscript"/>
        </w:rPr>
        <w:t>T</w:t>
      </w:r>
      <w:r w:rsidRPr="00CF26B6">
        <w:t xml:space="preserve"> present as MeHg), which tends to normalize difference</w:t>
      </w:r>
      <w:r w:rsidR="00C33719">
        <w:t>s</w:t>
      </w:r>
      <w:r w:rsidRPr="00CF26B6">
        <w:t xml:space="preserve"> due to sediment matrix, and for MeHg in 2009, a year with less overall variability.</w:t>
      </w:r>
    </w:p>
    <w:p w14:paraId="53509CF5" w14:textId="77777777" w:rsidR="00485F92" w:rsidRPr="00CF26B6" w:rsidRDefault="00485F92"/>
    <w:p w14:paraId="56A23221" w14:textId="77777777" w:rsidR="00485F92" w:rsidRPr="00CF26B6" w:rsidRDefault="00485F92">
      <w:r w:rsidRPr="00CF26B6">
        <w:t>In order to factor out difference</w:t>
      </w:r>
      <w:r w:rsidR="00C33719">
        <w:t>s</w:t>
      </w:r>
      <w:r w:rsidRPr="00CF26B6">
        <w:t xml:space="preserve"> in Hg concentrations owing to sediment composition, MeHg and Hg</w:t>
      </w:r>
      <w:r w:rsidRPr="00CF26B6">
        <w:rPr>
          <w:vertAlign w:val="subscript"/>
        </w:rPr>
        <w:t>T</w:t>
      </w:r>
      <w:r w:rsidRPr="00CF26B6">
        <w:t xml:space="preserve"> concentrations were normalized to %LOI and expressed as ng/g organic matter. While this convention removes some of the effects of sediment-matrix differences, there remains substantial variation in Hg concentration, even among sites within a given pool (Table 3). Nonetheless, some clear patterns emerge from the data. First, there is little difference between pools or among years in the Hg</w:t>
      </w:r>
      <w:r w:rsidRPr="00CF26B6">
        <w:rPr>
          <w:vertAlign w:val="subscript"/>
        </w:rPr>
        <w:t>T</w:t>
      </w:r>
      <w:r w:rsidRPr="00CF26B6">
        <w:t xml:space="preserve"> concentrations in sediments (Fig. 3). Mean Hg</w:t>
      </w:r>
      <w:r w:rsidRPr="00CF26B6">
        <w:rPr>
          <w:vertAlign w:val="subscript"/>
        </w:rPr>
        <w:t>T</w:t>
      </w:r>
      <w:r w:rsidRPr="00CF26B6">
        <w:t xml:space="preserve"> concentrations for each of the three study years range</w:t>
      </w:r>
      <w:r w:rsidR="00AD183B">
        <w:t>d</w:t>
      </w:r>
      <w:r w:rsidRPr="00CF26B6">
        <w:t xml:space="preserve"> between 213 and 268 ng/g OM in HQ and from 218 to 254 ng/g OM in AG (Table 3). These concentrations, expressed on a dry-weight basis (28-36 ng/g), are in the same range as those reported for </w:t>
      </w:r>
      <w:r w:rsidR="00B47F75">
        <w:t>five prairie wetlands in the nearby Glacial Ridge National Wildlife Refuge (GRNWR)</w:t>
      </w:r>
      <w:r w:rsidR="008A292B">
        <w:t xml:space="preserve"> </w:t>
      </w:r>
      <w:r w:rsidR="008A292B">
        <w:fldChar w:fldCharType="begin"/>
      </w:r>
      <w:r w:rsidR="008A292B">
        <w:instrText xml:space="preserve"> ADDIN EN.CITE &lt;EndNote&gt;&lt;Cite&gt;&lt;Author&gt;Cowdery&lt;/Author&gt;&lt;Year&gt;2013&lt;/Year&gt;&lt;RecNum&gt;4582&lt;/RecNum&gt;&lt;Prefix&gt;range of 11-86 ng/g`, &lt;/Prefix&gt;&lt;DisplayText&gt;(range of 11-86 ng/g, Cowdery and Brigham, 2013)&lt;/DisplayText&gt;&lt;record&gt;&lt;rec-number&gt;4582&lt;/rec-number&gt;&lt;foreign-keys&gt;&lt;key app="EN" db-id="29tf2ez5ssvd0mes5tux0wdox9st5tdt02zx" timestamp="1395526874"&gt;4582&lt;/key&gt;&lt;/foreign-keys&gt;&lt;ref-type name="Book"&gt;6&lt;/ref-type&gt;&lt;contributors&gt;&lt;authors&gt;&lt;author&gt;Cowdery, T.K.&lt;/author&gt;&lt;author&gt;Brigham, M.E.&lt;/author&gt;&lt;/authors&gt;&lt;/contributors&gt;&lt;titles&gt;&lt;title&gt;Mercury in wetlands at the Glacial Ridge National Wildlife Refuge, northwestern Minnesota, 2007-9: Scientific Investigations Report 2013-5068&lt;/title&gt;&lt;/titles&gt;&lt;pages&gt;1-17&lt;/pages&gt;&lt;dates&gt;&lt;year&gt;2013&lt;/year&gt;&lt;/dates&gt;&lt;pub-location&gt;Reston, VA&lt;/pub-location&gt;&lt;publisher&gt;U.S. Geological Survey&lt;/publisher&gt;&lt;urls&gt;&lt;/urls&gt;&lt;/record&gt;&lt;/Cite&gt;&lt;/EndNote&gt;</w:instrText>
      </w:r>
      <w:r w:rsidR="008A292B">
        <w:fldChar w:fldCharType="separate"/>
      </w:r>
      <w:r w:rsidR="008A292B">
        <w:rPr>
          <w:noProof/>
        </w:rPr>
        <w:t>(range of 11-86 ng/g, Cowdery and Brigham, 2013)</w:t>
      </w:r>
      <w:r w:rsidR="008A292B">
        <w:fldChar w:fldCharType="end"/>
      </w:r>
      <w:r w:rsidR="00B47F75">
        <w:t xml:space="preserve"> and</w:t>
      </w:r>
      <w:r w:rsidR="00B47F75" w:rsidRPr="00CF26B6">
        <w:t xml:space="preserve"> </w:t>
      </w:r>
      <w:r w:rsidRPr="00CF26B6">
        <w:t xml:space="preserve">44 wetlands in the </w:t>
      </w:r>
      <w:proofErr w:type="spellStart"/>
      <w:r w:rsidRPr="00CF26B6">
        <w:t>Lostwood</w:t>
      </w:r>
      <w:proofErr w:type="spellEnd"/>
      <w:r w:rsidRPr="00CF26B6">
        <w:t xml:space="preserve"> National Wildlife Refuge (LNWR) of North Dakota </w:t>
      </w:r>
      <w:r w:rsidR="008A292B">
        <w:fldChar w:fldCharType="begin"/>
      </w:r>
      <w:r w:rsidR="008A292B">
        <w:instrText xml:space="preserve"> ADDIN EN.CITE &lt;EndNote&gt;&lt;Cite&gt;&lt;Author&gt;Sando&lt;/Author&gt;&lt;Year&gt;2007&lt;/Year&gt;&lt;RecNum&gt;4138&lt;/RecNum&gt;&lt;Prefix&gt;range of 7-99 ng/g`, &lt;/Prefix&gt;&lt;DisplayText&gt;(range of 7-99 ng/g, Sando et al., 2007)&lt;/DisplayText&gt;&lt;record&gt;&lt;rec-number&gt;4138&lt;/rec-number&gt;&lt;foreign-keys&gt;&lt;key app="EN" db-id="29tf2ez5ssvd0mes5tux0wdox9st5tdt02zx" timestamp="0"&gt;4138&lt;/key&gt;&lt;/foreign-keys&gt;&lt;ref-type name="Book"&gt;6&lt;/ref-type&gt;&lt;contributors&gt;&lt;authors&gt;&lt;author&gt;Sando, S.K.&lt;/author&gt;&lt;author&gt;Krabbenhoft, D.P.&lt;/author&gt;&lt;author&gt;Johnson, K.M.&lt;/author&gt;&lt;author&gt;Lundgren, R.F.&lt;/author&gt;&lt;author&gt;Emerson, D.G.&lt;/author&gt;&lt;/authors&gt;&lt;/contributors&gt;&lt;titles&gt;&lt;title&gt;Mercury and methylmercury in water and bottom sediments of wetlands at Lostwood National Wildlife Refuge, North Dakota, 2003-04:  Scientific Investigations Report 2007–5219&lt;/title&gt;&lt;/titles&gt;&lt;pages&gt;1-66&lt;/pages&gt;&lt;dates&gt;&lt;year&gt;2007&lt;/year&gt;&lt;/dates&gt;&lt;pub-location&gt;Reston, VA&lt;/pub-location&gt;&lt;publisher&gt;U.S. Geological Survey&lt;/publisher&gt;&lt;urls&gt;&lt;/urls&gt;&lt;/record&gt;&lt;/Cite&gt;&lt;/EndNote&gt;</w:instrText>
      </w:r>
      <w:r w:rsidR="008A292B">
        <w:fldChar w:fldCharType="separate"/>
      </w:r>
      <w:r w:rsidR="008A292B">
        <w:rPr>
          <w:noProof/>
        </w:rPr>
        <w:t>(range of 7-99 ng/g, Sando et al., 2007)</w:t>
      </w:r>
      <w:r w:rsidR="008A292B">
        <w:fldChar w:fldCharType="end"/>
      </w:r>
      <w:r>
        <w:t>.</w:t>
      </w:r>
    </w:p>
    <w:p w14:paraId="2769EEA3" w14:textId="77777777" w:rsidR="00485F92" w:rsidRPr="00CF26B6" w:rsidRDefault="00485F92"/>
    <w:p w14:paraId="25F4A41B" w14:textId="77777777" w:rsidR="00485F92" w:rsidRPr="00CF26B6" w:rsidRDefault="00485F92">
      <w:r w:rsidRPr="00CF26B6">
        <w:t xml:space="preserve">Second, MeHg concentrations (and %MeHg) show some differences between pools owing to higher values in the shallow-water sites in HQ, although pool-wide averages are not significantly different for any of the study years owing to high variability (Fig. 3). Mean values for MeHg concentration range from 3.31 to 5.01 ng/g OM in HQ and 1.16 to 2.30 ng/g OM in AG, while means for %MeHg range between 1.51 and 2.07% in HQ and 0.45 and 1.74% in AG (Table 3). MeHg concentrations and %MeHg are also similar to those reported for the LNWR </w:t>
      </w:r>
      <w:r>
        <w:fldChar w:fldCharType="begin"/>
      </w:r>
      <w:r w:rsidR="002160C6">
        <w:instrText xml:space="preserve"> ADDIN EN.CITE &lt;EndNote&gt;&lt;Cite&gt;&lt;Author&gt;Sando&lt;/Author&gt;&lt;Year&gt;2007&lt;/Year&gt;&lt;RecNum&gt;4138&lt;/RecNum&gt;&lt;DisplayText&gt;(Sando et al., 2007)&lt;/DisplayText&gt;&lt;record&gt;&lt;rec-number&gt;4138&lt;/rec-number&gt;&lt;foreign-keys&gt;&lt;key app="EN" db-id="29tf2ez5ssvd0mes5tux0wdox9st5tdt02zx" timestamp="0"&gt;4138&lt;/key&gt;&lt;/foreign-keys&gt;&lt;ref-type name="Book"&gt;6&lt;/ref-type&gt;&lt;contributors&gt;&lt;authors&gt;&lt;author&gt;Sando, S.K.&lt;/author&gt;&lt;author&gt;Krabbenhoft, D.P.&lt;/author&gt;&lt;author&gt;Johnson, K.M.&lt;/author&gt;&lt;author&gt;Lundgren, R.F.&lt;/author&gt;&lt;author&gt;Emerson, D.G.&lt;/author&gt;&lt;/authors&gt;&lt;/contributors&gt;&lt;titles&gt;&lt;title&gt;Mercury and methylmercury in water and bottom sediments of wetlands at Lostwood National Wildlife Refuge, North Dakota, 2003-04:  Scientific Investigations Report 2007–5219&lt;/title&gt;&lt;/titles&gt;&lt;pages&gt;1-66&lt;/pages&gt;&lt;dates&gt;&lt;year&gt;2007&lt;/year&gt;&lt;/dates&gt;&lt;pub-location&gt;Reston, VA&lt;/pub-location&gt;&lt;publisher&gt;U.S. Geological Survey&lt;/publisher&gt;&lt;urls&gt;&lt;/urls&gt;&lt;/record&gt;&lt;/Cite&gt;&lt;/EndNote&gt;</w:instrText>
      </w:r>
      <w:r>
        <w:fldChar w:fldCharType="separate"/>
      </w:r>
      <w:r w:rsidR="002160C6">
        <w:rPr>
          <w:noProof/>
        </w:rPr>
        <w:t>(Sando et al., 2007)</w:t>
      </w:r>
      <w:r>
        <w:fldChar w:fldCharType="end"/>
      </w:r>
      <w:r w:rsidR="00CC40B9">
        <w:t>, but slig</w:t>
      </w:r>
      <w:r w:rsidR="00F40039">
        <w:t xml:space="preserve">htly lower than for the GRNWR) </w:t>
      </w:r>
      <w:r w:rsidR="008A292B">
        <w:fldChar w:fldCharType="begin"/>
      </w:r>
      <w:r w:rsidR="008A292B">
        <w:instrText xml:space="preserve"> ADDIN EN.CITE &lt;EndNote&gt;&lt;Cite&gt;&lt;Author&gt;Cowdery&lt;/Author&gt;&lt;Year&gt;2013&lt;/Year&gt;&lt;RecNum&gt;4582&lt;/RecNum&gt;&lt;Prefix&gt;median of 3% MeHg`, &lt;/Prefix&gt;&lt;DisplayText&gt;(median of 3% MeHg, Cowdery and Brigham, 2013)&lt;/DisplayText&gt;&lt;record&gt;&lt;rec-number&gt;4582&lt;/rec-number&gt;&lt;foreign-keys&gt;&lt;key app="EN" db-id="29tf2ez5ssvd0mes5tux0wdox9st5tdt02zx" timestamp="1395526874"&gt;4582&lt;/key&gt;&lt;/foreign-keys&gt;&lt;ref-type name="Book"&gt;6&lt;/ref-type&gt;&lt;contributors&gt;&lt;authors&gt;&lt;author&gt;Cowdery, T.K.&lt;/author&gt;&lt;author&gt;Brigham, M.E.&lt;/author&gt;&lt;/authors&gt;&lt;/contributors&gt;&lt;titles&gt;&lt;title&gt;Mercury in wetlands at the Glacial Ridge National Wildlife Refuge, northwestern Minnesota, 2007-9: Scientific Investigations Report 2013-5068&lt;/title&gt;&lt;/titles&gt;&lt;pages&gt;1-17&lt;/pages&gt;&lt;dates&gt;&lt;year&gt;2013&lt;/year&gt;&lt;/dates&gt;&lt;pub-location&gt;Reston, VA&lt;/pub-location&gt;&lt;publisher&gt;U.S. Geological Survey&lt;/publisher&gt;&lt;urls&gt;&lt;/urls&gt;&lt;/record&gt;&lt;/Cite&gt;&lt;/EndNote&gt;</w:instrText>
      </w:r>
      <w:r w:rsidR="008A292B">
        <w:fldChar w:fldCharType="separate"/>
      </w:r>
      <w:r w:rsidR="008A292B">
        <w:rPr>
          <w:noProof/>
        </w:rPr>
        <w:t>(median of 3% MeHg, Cowdery and Brigham, 2013)</w:t>
      </w:r>
      <w:r w:rsidR="008A292B">
        <w:fldChar w:fldCharType="end"/>
      </w:r>
      <w:r w:rsidRPr="00CF26B6">
        <w:t>. The high variability in HQ sediments is largely a result of large differences between shallow- and deep-water sites (Fig. 4). Shallow HQ sediments have higher MeHg concentrations than those from deep sites in all years, and while variability is high, this difference is statistically significant in 2010 (t = 3.66, p = 0.01) and nearly so in 2011 (t = 2.03, p = 0.88). In contrast, deep and shallow sites in AG have similar MeHg concentrations, which are also in the same range as deep sites in HQ. A similar pattern is evident when MeHg concentrations are normalized to Hg</w:t>
      </w:r>
      <w:r w:rsidRPr="00CF26B6">
        <w:rPr>
          <w:vertAlign w:val="subscript"/>
        </w:rPr>
        <w:t>T</w:t>
      </w:r>
      <w:r w:rsidRPr="00CF26B6">
        <w:t xml:space="preserve"> (%MeHg) (Fig. 3, 4).</w:t>
      </w:r>
    </w:p>
    <w:p w14:paraId="35485ED3" w14:textId="77777777" w:rsidR="00485F92" w:rsidRPr="00CF26B6" w:rsidRDefault="00485F92"/>
    <w:p w14:paraId="346A9547" w14:textId="77777777" w:rsidR="00485F92" w:rsidRPr="00CF26B6" w:rsidRDefault="00485F92">
      <w:r w:rsidRPr="00CF26B6">
        <w:t xml:space="preserve">Third, there is a significant uptick in MeHg in the Agassiz Pool </w:t>
      </w:r>
      <w:r w:rsidR="007E429B">
        <w:t xml:space="preserve">sediment </w:t>
      </w:r>
      <w:r w:rsidRPr="00CF26B6">
        <w:t>between 2009</w:t>
      </w:r>
      <w:r w:rsidR="00BA0614">
        <w:t xml:space="preserve"> (before drawdown)</w:t>
      </w:r>
      <w:r w:rsidRPr="00CF26B6">
        <w:t xml:space="preserve"> and 2011 </w:t>
      </w:r>
      <w:r w:rsidR="00BA0614">
        <w:t xml:space="preserve">(after re-flooding) </w:t>
      </w:r>
      <w:r w:rsidRPr="00CF26B6">
        <w:t xml:space="preserve">(Fig. 3). MeHg concentrations increase from 1.16 ± 0.98 ng/g OM (mean ± 1 </w:t>
      </w:r>
      <w:proofErr w:type="spellStart"/>
      <w:r w:rsidRPr="00CF26B6">
        <w:t>s.d.</w:t>
      </w:r>
      <w:proofErr w:type="spellEnd"/>
      <w:r w:rsidRPr="00CF26B6">
        <w:t xml:space="preserve">) in 2009 to 3.50 ± 1.89 ng/g OM in 2010, and then decline slightly in 2011 (2.30 ± 1.43 ng/g OM). The increase between 2009 and 2010 is highly significant whether MeHg is expressed as a concentration or as %MeHg (t = 3.4, p = 0.004 for both metrics). The difference between 2009 and 2011 is just significant </w:t>
      </w:r>
      <w:r w:rsidR="00581775">
        <w:t>at</w:t>
      </w:r>
      <w:r w:rsidR="00581775" w:rsidRPr="00CF26B6">
        <w:t xml:space="preserve"> </w:t>
      </w:r>
      <w:r w:rsidRPr="00CF26B6">
        <w:t>the 95% confidence level. In contrast, HQ sediments show no significant differences among years in either MeHg concentration or %MeHg, whether considering whole-pool averages or shallow and deep sites separately.</w:t>
      </w:r>
    </w:p>
    <w:p w14:paraId="77ED8959" w14:textId="77777777" w:rsidR="00485F92" w:rsidRPr="00CF26B6" w:rsidRDefault="00485F92"/>
    <w:p w14:paraId="6EBB2340" w14:textId="77777777" w:rsidR="00485F92" w:rsidRPr="00E6731E" w:rsidRDefault="00485F92">
      <w:r w:rsidRPr="00CF26B6">
        <w:rPr>
          <w:i/>
        </w:rPr>
        <w:t>Amphipods</w:t>
      </w:r>
      <w:r w:rsidRPr="00CF26B6">
        <w:t>:  Mercury was present in amphipods (</w:t>
      </w:r>
      <w:r w:rsidRPr="00CF26B6">
        <w:rPr>
          <w:i/>
        </w:rPr>
        <w:t xml:space="preserve">G. </w:t>
      </w:r>
      <w:proofErr w:type="spellStart"/>
      <w:r w:rsidRPr="00CF26B6">
        <w:rPr>
          <w:i/>
        </w:rPr>
        <w:t>lacustris</w:t>
      </w:r>
      <w:proofErr w:type="spellEnd"/>
      <w:r w:rsidRPr="00CF26B6">
        <w:t xml:space="preserve">) largely as </w:t>
      </w:r>
      <w:proofErr w:type="spellStart"/>
      <w:r w:rsidRPr="00CF26B6">
        <w:t>MeHg</w:t>
      </w:r>
      <w:proofErr w:type="spellEnd"/>
      <w:r w:rsidRPr="00CF26B6">
        <w:t>, and there was little difference in %MeHg between pools or among years. Over the three study years MeHg ranged between 72% and 82% and 71% and 94% of Hg</w:t>
      </w:r>
      <w:r w:rsidRPr="00CF26B6">
        <w:rPr>
          <w:vertAlign w:val="subscript"/>
        </w:rPr>
        <w:t>T</w:t>
      </w:r>
      <w:r w:rsidRPr="00CF26B6">
        <w:t xml:space="preserve"> in HQ and AG, respectively (Table 3). Hence, patterns for Hg</w:t>
      </w:r>
      <w:r w:rsidRPr="00CF26B6">
        <w:rPr>
          <w:vertAlign w:val="subscript"/>
        </w:rPr>
        <w:t>T</w:t>
      </w:r>
      <w:r w:rsidRPr="00CF26B6">
        <w:t xml:space="preserve"> follow closely those of MeHg, and only MeHg concentrations are discussed further. Mean values for MeHg in each of the three study years ranged between 23 and 69 ng/g in HQ and 27 and 54 ng/g in AG. These values are similar to those reported for gastropods (45 ± 30 ng/g) from prairie wetlands in Saskatchewan, but substantially lower than MeHg concentrations in predaceous invertebrates (dragonfly nymphs, diving beetles, and </w:t>
      </w:r>
      <w:r w:rsidRPr="00CF26B6">
        <w:lastRenderedPageBreak/>
        <w:t xml:space="preserve">backswimmers; ~ 200 ± 100 ng/g) from the same systems </w:t>
      </w:r>
      <w:r>
        <w:fldChar w:fldCharType="begin"/>
      </w:r>
      <w:r w:rsidR="002160C6">
        <w:instrText xml:space="preserve"> ADDIN EN.CITE &lt;EndNote&gt;&lt;Cite&gt;&lt;Author&gt;Bates&lt;/Author&gt;&lt;Year&gt;2012&lt;/Year&gt;&lt;RecNum&gt;4131&lt;/RecNum&gt;&lt;DisplayText&gt;(Bates and Hall, 2012)&lt;/DisplayText&gt;&lt;record&gt;&lt;rec-number&gt;4131&lt;/rec-number&gt;&lt;foreign-keys&gt;&lt;key app="EN" db-id="29tf2ez5ssvd0mes5tux0wdox9st5tdt02zx" timestamp="0"&gt;4131&lt;/key&gt;&lt;/foreign-keys&gt;&lt;ref-type name="Journal Article"&gt;17&lt;/ref-type&gt;&lt;contributors&gt;&lt;authors&gt;&lt;author&gt;Bates, L.M.&lt;/author&gt;&lt;author&gt;Hall, B.D.&lt;/author&gt;&lt;/authors&gt;&lt;/contributors&gt;&lt;titles&gt;&lt;title&gt;Concentrations of methylmercury in invertebrates from wetlands of the Prairie Pothole Region of North America&lt;/title&gt;&lt;secondary-title&gt;Environmental Pollution&lt;/secondary-title&gt;&lt;/titles&gt;&lt;periodical&gt;&lt;full-title&gt;Environmental Pollution&lt;/full-title&gt;&lt;abbr-1&gt;Environ. Pollut.&lt;/abbr-1&gt;&lt;/periodical&gt;&lt;pages&gt;153-160&lt;/pages&gt;&lt;volume&gt;160&lt;/volume&gt;&lt;dates&gt;&lt;year&gt;2012&lt;/year&gt;&lt;/dates&gt;&lt;urls&gt;&lt;/urls&gt;&lt;/record&gt;&lt;/Cite&gt;&lt;/EndNote&gt;</w:instrText>
      </w:r>
      <w:r>
        <w:fldChar w:fldCharType="separate"/>
      </w:r>
      <w:r w:rsidR="002160C6">
        <w:rPr>
          <w:noProof/>
        </w:rPr>
        <w:t>(Bates and Hall, 2012)</w:t>
      </w:r>
      <w:r>
        <w:fldChar w:fldCharType="end"/>
      </w:r>
      <w:r w:rsidRPr="00CF26B6">
        <w:t xml:space="preserve">. Such differences likely reflect the lower trophic position occupied by </w:t>
      </w:r>
      <w:r w:rsidRPr="00E6731E">
        <w:t>amphipods and snails</w:t>
      </w:r>
      <w:r w:rsidRPr="00CF26B6">
        <w:t>.</w:t>
      </w:r>
    </w:p>
    <w:p w14:paraId="1C443B46" w14:textId="77777777" w:rsidR="00485F92" w:rsidRPr="00CF26B6" w:rsidRDefault="00485F92"/>
    <w:p w14:paraId="00A2AB00" w14:textId="469EDCC7" w:rsidR="00485F92" w:rsidRPr="00E6731E" w:rsidRDefault="00485F92">
      <w:r w:rsidRPr="00CF26B6">
        <w:t xml:space="preserve">The primary trend observed </w:t>
      </w:r>
      <w:r w:rsidR="002F7772">
        <w:t xml:space="preserve">for amphipods </w:t>
      </w:r>
      <w:r w:rsidRPr="00CF26B6">
        <w:t xml:space="preserve">was an increase in MeHg concentration in </w:t>
      </w:r>
      <w:r w:rsidRPr="00E6731E">
        <w:t xml:space="preserve">AG and a </w:t>
      </w:r>
      <w:r w:rsidR="00742933">
        <w:t>concurrent</w:t>
      </w:r>
      <w:r w:rsidR="00742933" w:rsidRPr="00E6731E">
        <w:t xml:space="preserve"> </w:t>
      </w:r>
      <w:r w:rsidRPr="00E6731E">
        <w:t>decline in collections from HQ (Fig. 3). The AG increase between 2009 and 2011 was not significant in whole-pool averages (t = 1.76, p = 0.10, but was so in collections from the shallow-water sites (t = 2.59, p = 0.05)</w:t>
      </w:r>
      <w:r w:rsidR="00140A8E">
        <w:t xml:space="preserve"> </w:t>
      </w:r>
      <w:r w:rsidRPr="00E6731E">
        <w:t xml:space="preserve">(Fig. 4). Although MeHg in 2010 collections </w:t>
      </w:r>
      <w:r w:rsidR="005122B4">
        <w:t>from AG</w:t>
      </w:r>
      <w:r w:rsidR="005122B4" w:rsidRPr="00E6731E">
        <w:t xml:space="preserve"> </w:t>
      </w:r>
      <w:r w:rsidRPr="00E6731E">
        <w:t xml:space="preserve">showed no change over 2009 values, only deep-water sites </w:t>
      </w:r>
      <w:r w:rsidR="002C6A07">
        <w:t xml:space="preserve">(where water depth was reduced to 0.2-0.3 m) </w:t>
      </w:r>
      <w:r w:rsidRPr="00E6731E">
        <w:t>were visited in that year, as the shallow sites were dry at the time. The opposing trend in HQ – a statistically significant decline in the pool-wide average (t = 2.54, p = 0.02) – was manifest</w:t>
      </w:r>
      <w:r w:rsidR="004C1078">
        <w:t>ed</w:t>
      </w:r>
      <w:r w:rsidRPr="00E6731E">
        <w:t xml:space="preserve"> largely as a decrease in MeHg in shallow-water collections between 2009 and 2010 (Fig. 4).</w:t>
      </w:r>
      <w:r w:rsidR="002C6A07">
        <w:t xml:space="preserve"> The reasons for </w:t>
      </w:r>
      <w:r w:rsidR="00042FAB">
        <w:t>this decline in HQ are uncertain.</w:t>
      </w:r>
    </w:p>
    <w:p w14:paraId="7B86C5CF" w14:textId="77777777" w:rsidR="00485F92" w:rsidRPr="00E6731E" w:rsidRDefault="00485F92"/>
    <w:p w14:paraId="7C5F99D9" w14:textId="559E12BD" w:rsidR="00485F92" w:rsidRDefault="00485F92">
      <w:r w:rsidRPr="00E6731E">
        <w:rPr>
          <w:i/>
        </w:rPr>
        <w:t>Fish</w:t>
      </w:r>
      <w:r w:rsidRPr="00E6731E">
        <w:t>:  Concentrations of Hg</w:t>
      </w:r>
      <w:r w:rsidRPr="00E6731E">
        <w:rPr>
          <w:vertAlign w:val="subscript"/>
        </w:rPr>
        <w:t>T</w:t>
      </w:r>
      <w:r w:rsidRPr="00E6731E">
        <w:t xml:space="preserve"> in </w:t>
      </w:r>
      <w:r>
        <w:t>sticklebacks (</w:t>
      </w:r>
      <w:r w:rsidRPr="00E6731E">
        <w:rPr>
          <w:i/>
        </w:rPr>
        <w:t xml:space="preserve">C. </w:t>
      </w:r>
      <w:proofErr w:type="spellStart"/>
      <w:r w:rsidRPr="00E6731E">
        <w:rPr>
          <w:i/>
        </w:rPr>
        <w:t>inconstans</w:t>
      </w:r>
      <w:proofErr w:type="spellEnd"/>
      <w:r>
        <w:t>) showed the clearest trends of any of the three indicators over the study. Collections from the control site, HQ, showed no significant change among years, while those from AG doubled</w:t>
      </w:r>
      <w:r w:rsidRPr="00E6731E">
        <w:t xml:space="preserve"> </w:t>
      </w:r>
      <w:r>
        <w:t>between 2009 and 2011 from 94 ± 31 ng/g to 188 ± 53 ng/g wet weight, an increase that was highly significant (t = 5.33, p &lt; 0.0001) (Table 3, Fig. 3). While Hg</w:t>
      </w:r>
      <w:r>
        <w:rPr>
          <w:vertAlign w:val="subscript"/>
        </w:rPr>
        <w:t>T</w:t>
      </w:r>
      <w:r>
        <w:t xml:space="preserve"> concentrations in AG also appeared to rise between 2009 and 2010, few fish were collected during drawdown in 2010 (only two samples), and the increase was not significant. In 2009, prior to drawdown, AG fish were substantially lower in Hg than those in HQ (t = 5.16, p &lt;0.0001), while following re-flooding in 2011, they were higher, though the difference was not quite significant (t = 2.08, p =0.06) (Table 3). And the most striking change in </w:t>
      </w:r>
      <w:r w:rsidR="001D3138">
        <w:t xml:space="preserve">AG </w:t>
      </w:r>
      <w:r>
        <w:t xml:space="preserve">occurred in the fish collections from the shallow-water sites. In 2009 fish from shallow sites were significantly lower in Hg than those from deeper sites (t = 2.12, p = 0.05), while the situation was reversed in 2011 (t = 3.45, p = 0.02) (Fig. </w:t>
      </w:r>
      <w:r w:rsidR="000151BE">
        <w:t>4</w:t>
      </w:r>
      <w:r>
        <w:t xml:space="preserve">). </w:t>
      </w:r>
    </w:p>
    <w:p w14:paraId="7A9E04C0" w14:textId="77777777" w:rsidR="00485F92" w:rsidRDefault="00485F92"/>
    <w:p w14:paraId="1B2941BF" w14:textId="77777777" w:rsidR="00485F92" w:rsidRPr="00E6731E" w:rsidRDefault="00485F92">
      <w:r>
        <w:t>Hg</w:t>
      </w:r>
      <w:r>
        <w:rPr>
          <w:vertAlign w:val="subscript"/>
        </w:rPr>
        <w:t>T</w:t>
      </w:r>
      <w:r>
        <w:t xml:space="preserve"> levels in ANWR sticklebacks were at the high end of the range reported for 1-year old yellow perch (</w:t>
      </w:r>
      <w:proofErr w:type="spellStart"/>
      <w:r w:rsidRPr="00E6731E">
        <w:rPr>
          <w:i/>
        </w:rPr>
        <w:t>Perca</w:t>
      </w:r>
      <w:proofErr w:type="spellEnd"/>
      <w:r w:rsidRPr="00E6731E">
        <w:rPr>
          <w:i/>
        </w:rPr>
        <w:t xml:space="preserve"> </w:t>
      </w:r>
      <w:proofErr w:type="spellStart"/>
      <w:r w:rsidRPr="00E6731E">
        <w:rPr>
          <w:i/>
        </w:rPr>
        <w:t>flavescens</w:t>
      </w:r>
      <w:proofErr w:type="spellEnd"/>
      <w:r>
        <w:t xml:space="preserve">) in lakes from Voyageurs National Park, Minnesota (98 ± 40 ng/g) </w:t>
      </w:r>
      <w:r>
        <w:fldChar w:fldCharType="begin"/>
      </w:r>
      <w:r w:rsidR="002160C6">
        <w:instrText xml:space="preserve"> ADDIN EN.CITE &lt;EndNote&gt;&lt;Cite&gt;&lt;Author&gt;Wiener&lt;/Author&gt;&lt;Year&gt;2006&lt;/Year&gt;&lt;RecNum&gt;3637&lt;/RecNum&gt;&lt;DisplayText&gt;(Wiener et al., 2006)&lt;/DisplayText&gt;&lt;record&gt;&lt;rec-number&gt;3637&lt;/rec-number&gt;&lt;foreign-keys&gt;&lt;key app="EN" db-id="29tf2ez5ssvd0mes5tux0wdox9st5tdt02zx" timestamp="0"&gt;3637&lt;/key&gt;&lt;/foreign-keys&gt;&lt;ref-type name="Journal Article"&gt;17&lt;/ref-type&gt;&lt;contributors&gt;&lt;authors&gt;&lt;author&gt;Wiener, J.G.&lt;/author&gt;&lt;author&gt;Knights, B.C. &lt;/author&gt;&lt;author&gt;Sandheinrich, M.B. &lt;/author&gt;&lt;author&gt;Jeremiason, J.D. &lt;/author&gt;&lt;author&gt;Brigham, M.E.&lt;/author&gt;&lt;author&gt;Engstrom, D.R. &lt;/author&gt;&lt;author&gt;Woodruff, L.G. &lt;/author&gt;&lt;author&gt;Cannon,  W.F. &lt;/author&gt;&lt;author&gt;Balogh, S.J.&lt;/author&gt;&lt;/authors&gt;&lt;/contributors&gt;&lt;titles&gt;&lt;title&gt;Mercury in soils, lakes, an fish in Voyageurs National Park (Minnesota): importance of atmospheric deposition and ecosystem factors&lt;/title&gt;&lt;secondary-title&gt;Environmental Science &amp;amp; Technology&lt;/secondary-title&gt;&lt;/titles&gt;&lt;periodical&gt;&lt;full-title&gt;Environmental Science &amp;amp; Technology&lt;/full-title&gt;&lt;abbr-1&gt;Environ. Sci. Technol.&lt;/abbr-1&gt;&lt;/periodical&gt;&lt;pages&gt;6281-6286&lt;/pages&gt;&lt;volume&gt;20&lt;/volume&gt;&lt;dates&gt;&lt;year&gt;2006&lt;/year&gt;&lt;/dates&gt;&lt;urls&gt;&lt;/urls&gt;&lt;/record&gt;&lt;/Cite&gt;&lt;/EndNote&gt;</w:instrText>
      </w:r>
      <w:r>
        <w:fldChar w:fldCharType="separate"/>
      </w:r>
      <w:r w:rsidR="002160C6">
        <w:rPr>
          <w:noProof/>
        </w:rPr>
        <w:t>(Wiener et al., 2006)</w:t>
      </w:r>
      <w:r>
        <w:fldChar w:fldCharType="end"/>
      </w:r>
      <w:r>
        <w:t>. Sticklebacks and 1-year old yellow perch occupy similar trophic positions, feeding on zooplankton and small benthic invertebrates. However, stickleback age was not determined, and older individuals with greater accumulated body burdens were likely included in the collections. Concentrations of Hg</w:t>
      </w:r>
      <w:r>
        <w:rPr>
          <w:vertAlign w:val="subscript"/>
        </w:rPr>
        <w:t>T</w:t>
      </w:r>
      <w:r>
        <w:t xml:space="preserve"> in sticklebacks have not been systematically measured in other systems to our knowledge.</w:t>
      </w:r>
    </w:p>
    <w:p w14:paraId="18CC09F1" w14:textId="77777777" w:rsidR="00485F92" w:rsidRDefault="00485F92"/>
    <w:p w14:paraId="66A615F3" w14:textId="77777777" w:rsidR="00485F92" w:rsidRDefault="00485F92" w:rsidP="00485F92">
      <w:pPr>
        <w:keepNext/>
      </w:pPr>
      <w:r>
        <w:rPr>
          <w:b/>
        </w:rPr>
        <w:t>DISCUSSION</w:t>
      </w:r>
    </w:p>
    <w:p w14:paraId="0CA4FC59" w14:textId="77777777" w:rsidR="00485F92" w:rsidRDefault="00485F92" w:rsidP="00485F92">
      <w:pPr>
        <w:keepNext/>
      </w:pPr>
    </w:p>
    <w:p w14:paraId="3071997B" w14:textId="77777777" w:rsidR="00485F92" w:rsidRDefault="00485F92">
      <w:r>
        <w:t xml:space="preserve">All three sampled compartments, sediments, amphipods, and fish, showed measurable increases in MeHg concentration following drawdown and re-flooding of the Agassiz Pool (AG). Despite high variability among sampling dates and sites within the pool, the changes were statistically significant and most strongly expressed at shallow-water sites where aerial exposure of the sediment surface was more effective. In contrast, Headquarters Pool (HQ) showed no increases in any of the compartments between 2009 and 2011, and in the amphipod samples, MeHg actually declined </w:t>
      </w:r>
      <w:r w:rsidR="00F264D3">
        <w:t xml:space="preserve">substantially </w:t>
      </w:r>
      <w:r>
        <w:t xml:space="preserve">over the course of the study. Although HQ is not a perfect control for AG – it has higher dissolved solids, alkalinity, and sulfate – average MeHg concentrations in sediments, amphipods, and fish were largely similar between the two pools, suggesting similar potential for Hg methylation and its response to year-to-year environmental variability. Thus the </w:t>
      </w:r>
      <w:r>
        <w:lastRenderedPageBreak/>
        <w:t>striking difference in trends between the pools and the consistency of the increase among compartments in AG strongly suggest that water-level manipulation was responsible for the observed rise in MeHg levels in the Agassiz Pool.</w:t>
      </w:r>
    </w:p>
    <w:p w14:paraId="1119D18A" w14:textId="77777777" w:rsidR="00485F92" w:rsidRDefault="00485F92"/>
    <w:p w14:paraId="2688440C" w14:textId="77777777" w:rsidR="00485F92" w:rsidRDefault="00485F92">
      <w:r>
        <w:t xml:space="preserve">Water-level fluctuations are known to enhance Hg methylation in other aquatic systems, most notably reservoirs with seasonal drawdowns for hydropower generation </w:t>
      </w:r>
      <w:r>
        <w:fldChar w:fldCharType="begin"/>
      </w:r>
      <w:r w:rsidR="002160C6">
        <w:instrText xml:space="preserve"> ADDIN EN.CITE &lt;EndNote&gt;&lt;Cite&gt;&lt;Author&gt;Porvari&lt;/Author&gt;&lt;Year&gt;1998&lt;/Year&gt;&lt;RecNum&gt;4132&lt;/RecNum&gt;&lt;DisplayText&gt;(Porvari, 1998; Sorensen et al., 2005)&lt;/DisplayText&gt;&lt;record&gt;&lt;rec-number&gt;4132&lt;/rec-number&gt;&lt;foreign-keys&gt;&lt;key app="EN" db-id="29tf2ez5ssvd0mes5tux0wdox9st5tdt02zx" timestamp="0"&gt;4132&lt;/key&gt;&lt;/foreign-keys&gt;&lt;ref-type name="Journal Article"&gt;17&lt;/ref-type&gt;&lt;contributors&gt;&lt;authors&gt;&lt;author&gt;Porvari, P.&lt;/author&gt;&lt;/authors&gt;&lt;/contributors&gt;&lt;titles&gt;&lt;title&gt;Development of fish mercury concentrations in Finnish reservoirs from 1979 to 1994&lt;/title&gt;&lt;secondary-title&gt;Science of the Total Environment&lt;/secondary-title&gt;&lt;/titles&gt;&lt;periodical&gt;&lt;full-title&gt;Science of the Total Environment&lt;/full-title&gt;&lt;abbr-1&gt;Sci. Tot. Environ.&lt;/abbr-1&gt;&lt;/periodical&gt;&lt;pages&gt;279-290&lt;/pages&gt;&lt;volume&gt;213&lt;/volume&gt;&lt;dates&gt;&lt;year&gt;1998&lt;/year&gt;&lt;/dates&gt;&lt;urls&gt;&lt;/urls&gt;&lt;/record&gt;&lt;/Cite&gt;&lt;Cite&gt;&lt;Author&gt;Sorensen&lt;/Author&gt;&lt;Year&gt;2005&lt;/Year&gt;&lt;RecNum&gt;3767&lt;/RecNum&gt;&lt;record&gt;&lt;rec-number&gt;3767&lt;/rec-number&gt;&lt;foreign-keys&gt;&lt;key app="EN" db-id="29tf2ez5ssvd0mes5tux0wdox9st5tdt02zx" timestamp="0"&gt;3767&lt;/key&gt;&lt;/foreign-keys&gt;&lt;ref-type name="Journal Article"&gt;17&lt;/ref-type&gt;&lt;contributors&gt;&lt;authors&gt;&lt;author&gt;Sorensen, J.A.&lt;/author&gt;&lt;author&gt;Kallemeyn, L.W.&lt;/author&gt;&lt;author&gt;Sydor, M.&lt;/author&gt;&lt;/authors&gt;&lt;/contributors&gt;&lt;titles&gt;&lt;title&gt;Relationship between mercury accumulation in young-of-the-year yellow perch and water-level fluctuations&lt;/title&gt;&lt;secondary-title&gt;Environmental Science &amp;amp; Technology&lt;/secondary-title&gt;&lt;/titles&gt;&lt;periodical&gt;&lt;full-title&gt;Environmental Science &amp;amp; Technology&lt;/full-title&gt;&lt;abbr-1&gt;Environ. Sci. Technol.&lt;/abbr-1&gt;&lt;/periodical&gt;&lt;pages&gt;9237-9243&lt;/pages&gt;&lt;volume&gt;39&lt;/volume&gt;&lt;number&gt;23&lt;/number&gt;&lt;dates&gt;&lt;year&gt;2005&lt;/year&gt;&lt;/dates&gt;&lt;urls&gt;&lt;/urls&gt;&lt;/record&gt;&lt;/Cite&gt;&lt;/EndNote&gt;</w:instrText>
      </w:r>
      <w:r>
        <w:fldChar w:fldCharType="separate"/>
      </w:r>
      <w:r w:rsidR="002160C6">
        <w:rPr>
          <w:noProof/>
        </w:rPr>
        <w:t>(Porvari, 1998; Sorensen et al., 2005)</w:t>
      </w:r>
      <w:r>
        <w:fldChar w:fldCharType="end"/>
      </w:r>
      <w:r>
        <w:t xml:space="preserve"> and wetlands with climate-driven changes in water-table elevation </w:t>
      </w:r>
      <w:r>
        <w:fldChar w:fldCharType="begin"/>
      </w:r>
      <w:r w:rsidR="002160C6">
        <w:instrText xml:space="preserve"> ADDIN EN.CITE &lt;EndNote&gt;&lt;Cite&gt;&lt;Author&gt;Orem&lt;/Author&gt;&lt;Year&gt;2011&lt;/Year&gt;&lt;RecNum&gt;4136&lt;/RecNum&gt;&lt;DisplayText&gt;(Orem et al., 2011)&lt;/DisplayText&gt;&lt;record&gt;&lt;rec-number&gt;4136&lt;/rec-number&gt;&lt;foreign-keys&gt;&lt;key app="EN" db-id="29tf2ez5ssvd0mes5tux0wdox9st5tdt02zx" timestamp="0"&gt;4136&lt;/key&gt;&lt;/foreign-keys&gt;&lt;ref-type name="Journal Article"&gt;17&lt;/ref-type&gt;&lt;contributors&gt;&lt;authors&gt;&lt;author&gt;Orem, W.H.&lt;/author&gt;&lt;author&gt;Gilmour, C.&lt;/author&gt;&lt;author&gt;Axlelrad, D.&lt;/author&gt;&lt;author&gt;Krabbenhoft, D.&lt;/author&gt;&lt;author&gt;Scheidt, D.&lt;/author&gt;&lt;author&gt;Kalla, P.&lt;/author&gt;&lt;author&gt;McCormac, P.&lt;/author&gt;&lt;author&gt;Gabriel, M.&lt;/author&gt;&lt;author&gt;Aiken, G.&lt;/author&gt;&lt;/authors&gt;&lt;/contributors&gt;&lt;titles&gt;&lt;title&gt;Sulfur in the south Florida ecosystem: distribution, sources, biogeochemistry, impacts, and management for restoration&lt;/title&gt;&lt;secondary-title&gt;Critical Reviews in Environmental Sciences and Technology&lt;/secondary-title&gt;&lt;/titles&gt;&lt;periodical&gt;&lt;full-title&gt;Critical Reviews in Environmental Sciences and Technology&lt;/full-title&gt;&lt;abbr-1&gt;Crit. Rev. Environ. Sci. Technol.&lt;/abbr-1&gt;&lt;/periodical&gt;&lt;pages&gt;249-288&lt;/pages&gt;&lt;volume&gt;41(S1)&lt;/volume&gt;&lt;dates&gt;&lt;year&gt;2011&lt;/year&gt;&lt;/dates&gt;&lt;urls&gt;&lt;/urls&gt;&lt;/record&gt;&lt;/Cite&gt;&lt;/EndNote&gt;</w:instrText>
      </w:r>
      <w:r>
        <w:fldChar w:fldCharType="separate"/>
      </w:r>
      <w:r w:rsidR="002160C6">
        <w:rPr>
          <w:noProof/>
        </w:rPr>
        <w:t>(Orem et al., 2011)</w:t>
      </w:r>
      <w:r>
        <w:fldChar w:fldCharType="end"/>
      </w:r>
      <w:r>
        <w:t xml:space="preserve">. These effects have been observed at multiple levels in the aquatic food chain and verified by water-level manipulations in experimental systems </w:t>
      </w:r>
      <w:r>
        <w:fldChar w:fldCharType="begin"/>
      </w:r>
      <w:r w:rsidR="002160C6">
        <w:instrText xml:space="preserve"> ADDIN EN.CITE &lt;EndNote&gt;&lt;Cite&gt;&lt;Author&gt;Rumbold&lt;/Author&gt;&lt;Year&gt;2006&lt;/Year&gt;&lt;RecNum&gt;4133&lt;/RecNum&gt;&lt;DisplayText&gt;(Gilmour et al., 2004; Rumbold and Fink, 2006)&lt;/DisplayText&gt;&lt;record&gt;&lt;rec-number&gt;4133&lt;/rec-number&gt;&lt;foreign-keys&gt;&lt;key app="EN" db-id="29tf2ez5ssvd0mes5tux0wdox9st5tdt02zx" timestamp="0"&gt;4133&lt;/key&gt;&lt;/foreign-keys&gt;&lt;ref-type name="Journal Article"&gt;17&lt;/ref-type&gt;&lt;contributors&gt;&lt;authors&gt;&lt;author&gt;Rumbold, D.G.&lt;/author&gt;&lt;author&gt;Fink, L.E.&lt;/author&gt;&lt;/authors&gt;&lt;/contributors&gt;&lt;titles&gt;&lt;title&gt;Extreme spatial variability and unprecedented methylmercury concentrations within a constructed wetland&lt;/title&gt;&lt;secondary-title&gt;Environmental Monitoring and Assessment&lt;/secondary-title&gt;&lt;/titles&gt;&lt;periodical&gt;&lt;full-title&gt;Environmental Monitoring and Assessment&lt;/full-title&gt;&lt;abbr-1&gt;Environ. Monit. Assess.&lt;/abbr-1&gt;&lt;/periodical&gt;&lt;pages&gt;115-135&lt;/pages&gt;&lt;volume&gt;112&lt;/volume&gt;&lt;dates&gt;&lt;year&gt;2006&lt;/year&gt;&lt;/dates&gt;&lt;urls&gt;&lt;/urls&gt;&lt;/record&gt;&lt;/Cite&gt;&lt;Cite&gt;&lt;Author&gt;Gilmour&lt;/Author&gt;&lt;Year&gt;2004&lt;/Year&gt;&lt;RecNum&gt;4137&lt;/RecNum&gt;&lt;record&gt;&lt;rec-number&gt;4137&lt;/rec-number&gt;&lt;foreign-keys&gt;&lt;key app="EN" db-id="29tf2ez5ssvd0mes5tux0wdox9st5tdt02zx" timestamp="0"&gt;4137&lt;/key&gt;&lt;/foreign-keys&gt;&lt;ref-type name="Report"&gt;27&lt;/ref-type&gt;&lt;contributors&gt;&lt;authors&gt;&lt;author&gt;Gilmour, C.&lt;/author&gt;&lt;author&gt;Krabbenhoft, D.&lt;/author&gt;&lt;author&gt;Orem, W.H.&lt;/author&gt;&lt;author&gt;Aiken, G.&lt;/author&gt;&lt;/authors&gt;&lt;/contributors&gt;&lt;titles&gt;&lt;title&gt;Appendix 2B-1: Influence of drying and rewetting on mercury and sulfur cycling in everglades and STA soils. Everglades Consolidated Report&lt;/title&gt;&lt;/titles&gt;&lt;dates&gt;&lt;year&gt;2004&lt;/year&gt;&lt;/dates&gt;&lt;pub-location&gt;West Palm Beach, FL&lt;/pub-location&gt;&lt;publisher&gt;South Florida Water Management District&lt;/publisher&gt;&lt;urls&gt;&lt;/urls&gt;&lt;/record&gt;&lt;/Cite&gt;&lt;/EndNote&gt;</w:instrText>
      </w:r>
      <w:r>
        <w:fldChar w:fldCharType="separate"/>
      </w:r>
      <w:r w:rsidR="002160C6">
        <w:rPr>
          <w:noProof/>
        </w:rPr>
        <w:t>(Gilmour et al., 2004; Rumbold and Fink, 2006)</w:t>
      </w:r>
      <w:r>
        <w:fldChar w:fldCharType="end"/>
      </w:r>
      <w:r>
        <w:t xml:space="preserve">. The mechanisms thought to be responsible for enhancing Hg methylation include regeneration of sulfate by oxidation of reduced sulfur species (inorganic and organic) with aerial exposure of previously saturated (and anoxic) sediments or peat </w:t>
      </w:r>
      <w:r>
        <w:fldChar w:fldCharType="begin"/>
      </w:r>
      <w:r w:rsidR="002160C6">
        <w:instrText xml:space="preserve"> ADDIN EN.CITE &lt;EndNote&gt;&lt;Cite&gt;&lt;Author&gt;Orem&lt;/Author&gt;&lt;Year&gt;2011&lt;/Year&gt;&lt;RecNum&gt;4136&lt;/RecNum&gt;&lt;DisplayText&gt;(Orem et al., 2011)&lt;/DisplayText&gt;&lt;record&gt;&lt;rec-number&gt;4136&lt;/rec-number&gt;&lt;foreign-keys&gt;&lt;key app="EN" db-id="29tf2ez5ssvd0mes5tux0wdox9st5tdt02zx" timestamp="0"&gt;4136&lt;/key&gt;&lt;/foreign-keys&gt;&lt;ref-type name="Journal Article"&gt;17&lt;/ref-type&gt;&lt;contributors&gt;&lt;authors&gt;&lt;author&gt;Orem, W.H.&lt;/author&gt;&lt;author&gt;Gilmour, C.&lt;/author&gt;&lt;author&gt;Axlelrad, D.&lt;/author&gt;&lt;author&gt;Krabbenhoft, D.&lt;/author&gt;&lt;author&gt;Scheidt, D.&lt;/author&gt;&lt;author&gt;Kalla, P.&lt;/author&gt;&lt;author&gt;McCormac, P.&lt;/author&gt;&lt;author&gt;Gabriel, M.&lt;/author&gt;&lt;author&gt;Aiken, G.&lt;/author&gt;&lt;/authors&gt;&lt;/contributors&gt;&lt;titles&gt;&lt;title&gt;Sulfur in the south Florida ecosystem: distribution, sources, biogeochemistry, impacts, and management for restoration&lt;/title&gt;&lt;secondary-title&gt;Critical Reviews in Environmental Sciences and Technology&lt;/secondary-title&gt;&lt;/titles&gt;&lt;periodical&gt;&lt;full-title&gt;Critical Reviews in Environmental Sciences and Technology&lt;/full-title&gt;&lt;abbr-1&gt;Crit. Rev. Environ. Sci. Technol.&lt;/abbr-1&gt;&lt;/periodical&gt;&lt;pages&gt;249-288&lt;/pages&gt;&lt;volume&gt;41(S1)&lt;/volume&gt;&lt;dates&gt;&lt;year&gt;2011&lt;/year&gt;&lt;/dates&gt;&lt;urls&gt;&lt;/urls&gt;&lt;/record&gt;&lt;/Cite&gt;&lt;/EndNote&gt;</w:instrText>
      </w:r>
      <w:r>
        <w:fldChar w:fldCharType="separate"/>
      </w:r>
      <w:r w:rsidR="002160C6">
        <w:rPr>
          <w:noProof/>
        </w:rPr>
        <w:t>(Orem et al., 2011)</w:t>
      </w:r>
      <w:r>
        <w:fldChar w:fldCharType="end"/>
      </w:r>
      <w:r>
        <w:t xml:space="preserve">. The released sulfate is needed for metabolism by sulfate-reducing bacteria (SRB), which are </w:t>
      </w:r>
      <w:r w:rsidR="00C8155E">
        <w:t xml:space="preserve">thought to be </w:t>
      </w:r>
      <w:r>
        <w:t xml:space="preserve">the chief Hg methylators in most aquatic systems </w:t>
      </w:r>
      <w:r>
        <w:fldChar w:fldCharType="begin">
          <w:fldData xml:space="preserve">PEVuZE5vdGU+PENpdGU+PEF1dGhvcj5HaWxtb3VyPC9BdXRob3I+PFllYXI+MTk5MjwvWWVhcj48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</w:fldData>
        </w:fldChar>
      </w:r>
      <w:r w:rsidR="002160C6">
        <w:instrText xml:space="preserve"> ADDIN EN.CITE </w:instrText>
      </w:r>
      <w:r w:rsidR="002160C6">
        <w:fldChar w:fldCharType="begin">
          <w:fldData xml:space="preserve">PEVuZE5vdGU+PENpdGU+PEF1dGhvcj5HaWxtb3VyPC9BdXRob3I+PFllYXI+MTk5MjwvWWVhcj48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</w:fldData>
        </w:fldChar>
      </w:r>
      <w:r w:rsidR="002160C6">
        <w:instrText xml:space="preserve"> ADDIN EN.CITE.DATA </w:instrText>
      </w:r>
      <w:r w:rsidR="002160C6">
        <w:fldChar w:fldCharType="end"/>
      </w:r>
      <w:r>
        <w:fldChar w:fldCharType="separate"/>
      </w:r>
      <w:r w:rsidR="002160C6">
        <w:rPr>
          <w:noProof/>
        </w:rPr>
        <w:t>(Benoit et al., 1999; Branfireun et al., 1999; Gilmour et al., 1992)</w:t>
      </w:r>
      <w:r>
        <w:fldChar w:fldCharType="end"/>
      </w:r>
      <w:r w:rsidR="00ED13F8">
        <w:t xml:space="preserve">, although other groups of bacteria, including iron reducers, have the potential to methylate Hg </w:t>
      </w:r>
      <w:r w:rsidR="002160C6">
        <w:fldChar w:fldCharType="begin"/>
      </w:r>
      <w:r w:rsidR="002160C6">
        <w:instrText xml:space="preserve"> ADDIN EN.CITE &lt;EndNote&gt;&lt;Cite&gt;&lt;Author&gt;Parks&lt;/Author&gt;&lt;Year&gt;2013&lt;/Year&gt;&lt;RecNum&gt;4583&lt;/RecNum&gt;&lt;DisplayText&gt;(Parks et al., 2013)&lt;/DisplayText&gt;&lt;record&gt;&lt;rec-number&gt;4583&lt;/rec-number&gt;&lt;foreign-keys&gt;&lt;key app="EN" db-id="29tf2ez5ssvd0mes5tux0wdox9st5tdt02zx" timestamp="1395603538"&gt;4583&lt;/key&gt;&lt;/foreign-keys&gt;&lt;ref-type name="Journal Article"&gt;17&lt;/ref-type&gt;&lt;contributors&gt;&lt;authors&gt;&lt;author&gt;Parks, Jerry M.&lt;/author&gt;&lt;author&gt;Johs, Alexander&lt;/author&gt;&lt;author&gt;Podar, Mircea&lt;/author&gt;&lt;author&gt;Bridou, Romain&lt;/author&gt;&lt;author&gt;Hurt, Richard A.&lt;/author&gt;&lt;author&gt;Smith, Steven D.&lt;/author&gt;&lt;author&gt;Tomanicek, Stephen J.&lt;/author&gt;&lt;author&gt;Qian, Yun&lt;/author&gt;&lt;author&gt;Brown, Steven D.&lt;/author&gt;&lt;author&gt;Brandt, Craig C.&lt;/author&gt;&lt;author&gt;Palumbo, Anthony V.&lt;/author&gt;&lt;author&gt;Smith, Jeremy C.&lt;/author&gt;&lt;author&gt;Wall, Judy D.&lt;/author&gt;&lt;author&gt;Elias, Dwayne A.&lt;/author&gt;&lt;author&gt;Liang, Liyuan&lt;/author&gt;&lt;/authors&gt;&lt;/contributors&gt;&lt;titles&gt;&lt;title&gt;The genetic basis for bacterial mercury methylation&lt;/title&gt;&lt;secondary-title&gt;Science&lt;/secondary-title&gt;&lt;/titles&gt;&lt;periodical&gt;&lt;full-title&gt;Science&lt;/full-title&gt;&lt;abbr-1&gt;Science&lt;/abbr-1&gt;&lt;/periodical&gt;&lt;pages&gt;1332-1335&lt;/pages&gt;&lt;volume&gt;339&lt;/volume&gt;&lt;number&gt;6125&lt;/number&gt;&lt;dates&gt;&lt;year&gt;2013&lt;/year&gt;&lt;pub-dates&gt;&lt;date&gt;March 15, 2013&lt;/date&gt;&lt;/pub-dates&gt;&lt;/dates&gt;&lt;urls&gt;&lt;related-urls&gt;&lt;url&gt;http://www.sciencemag.org/content/339/6125/1332.abstract&lt;/url&gt;&lt;url&gt;http://www.sciencemag.org/content/339/6125/1332&lt;/url&gt;&lt;/related-urls&gt;&lt;/urls&gt;&lt;electronic-resource-num&gt;10.1126/science.1230667&lt;/electronic-resource-num&gt;&lt;/record&gt;&lt;/Cite&gt;&lt;/EndNote&gt;</w:instrText>
      </w:r>
      <w:r w:rsidR="002160C6">
        <w:fldChar w:fldCharType="separate"/>
      </w:r>
      <w:r w:rsidR="002160C6">
        <w:rPr>
          <w:noProof/>
        </w:rPr>
        <w:t>(Parks et al., 2013)</w:t>
      </w:r>
      <w:r w:rsidR="002160C6">
        <w:fldChar w:fldCharType="end"/>
      </w:r>
      <w:r>
        <w:t xml:space="preserve">. A similar mechanism for increased Hg methylation involves the release of inorganic Hg from the sediments </w:t>
      </w:r>
      <w:r>
        <w:fldChar w:fldCharType="begin"/>
      </w:r>
      <w:r w:rsidR="002160C6">
        <w:instrText xml:space="preserve"> ADDIN EN.CITE &lt;EndNote&gt;&lt;Cite&gt;&lt;Author&gt;Gilmour&lt;/Author&gt;&lt;Year&gt;2004&lt;/Year&gt;&lt;RecNum&gt;4137&lt;/RecNum&gt;&lt;DisplayText&gt;(Gilmour et al., 2004)&lt;/DisplayText&gt;&lt;record&gt;&lt;rec-number&gt;4137&lt;/rec-number&gt;&lt;foreign-keys&gt;&lt;key app="EN" db-id="29tf2ez5ssvd0mes5tux0wdox9st5tdt02zx" timestamp="0"&gt;4137&lt;/key&gt;&lt;/foreign-keys&gt;&lt;ref-type name="Report"&gt;27&lt;/ref-type&gt;&lt;contributors&gt;&lt;authors&gt;&lt;author&gt;Gilmour, C.&lt;/author&gt;&lt;author&gt;Krabbenhoft, D.&lt;/author&gt;&lt;author&gt;Orem, W.H.&lt;/author&gt;&lt;author&gt;Aiken, G.&lt;/author&gt;&lt;/authors&gt;&lt;/contributors&gt;&lt;titles&gt;&lt;title&gt;Appendix 2B-1: Influence of drying and rewetting on mercury and sulfur cycling in everglades and STA soils. Everglades Consolidated Report&lt;/title&gt;&lt;/titles&gt;&lt;dates&gt;&lt;year&gt;2004&lt;/year&gt;&lt;/dates&gt;&lt;pub-location&gt;West Palm Beach, FL&lt;/pub-location&gt;&lt;publisher&gt;South Florida Water Management District&lt;/publisher&gt;&lt;urls&gt;&lt;/urls&gt;&lt;/record&gt;&lt;/Cite&gt;&lt;/EndNote&gt;</w:instrText>
      </w:r>
      <w:r>
        <w:fldChar w:fldCharType="separate"/>
      </w:r>
      <w:r w:rsidR="002160C6">
        <w:rPr>
          <w:noProof/>
        </w:rPr>
        <w:t>(Gilmour et al., 2004)</w:t>
      </w:r>
      <w:r>
        <w:fldChar w:fldCharType="end"/>
      </w:r>
      <w:r>
        <w:t xml:space="preserve">, possibly driven by oxidation of organic matter or sulfides that otherwise bind Hg. The bioavailability of inorganic Hg exerts a first-order control on microbial methylation rates </w:t>
      </w:r>
      <w:r>
        <w:fldChar w:fldCharType="begin"/>
      </w:r>
      <w:r w:rsidR="002160C6">
        <w:instrText xml:space="preserve"> ADDIN EN.CITE &lt;EndNote&gt;&lt;Cite&gt;&lt;Author&gt;Munthe&lt;/Author&gt;&lt;Year&gt;2007&lt;/Year&gt;&lt;RecNum&gt;3793&lt;/RecNum&gt;&lt;DisplayText&gt;(Munthe et al., 2007)&lt;/DisplayText&gt;&lt;record&gt;&lt;rec-number&gt;3793&lt;/rec-number&gt;&lt;foreign-keys&gt;&lt;key app="EN" db-id="29tf2ez5ssvd0mes5tux0wdox9st5tdt02zx" timestamp="0"&gt;3793&lt;/key&gt;&lt;/foreign-keys&gt;&lt;ref-type name="Journal Article"&gt;17&lt;/ref-type&gt;&lt;contributors&gt;&lt;authors&gt;&lt;author&gt;Munthe, J.&lt;/author&gt;&lt;author&gt;Bodaly, R.A.&lt;/author&gt;&lt;author&gt;Branfireun, B.A.&lt;/author&gt;&lt;author&gt;Driscoll, C.T.&lt;/author&gt;&lt;author&gt;Gilmour, C.C.&lt;/author&gt;&lt;author&gt;Harris, R.&lt;/author&gt;&lt;author&gt;Horvat, M.&lt;/author&gt;&lt;author&gt;Lucotte, M.&lt;/author&gt;&lt;author&gt;Malm, O.&lt;/author&gt;&lt;/authors&gt;&lt;/contributors&gt;&lt;titles&gt;&lt;title&gt;Recovery of mercury-contaminated fisheries&lt;/title&gt;&lt;secondary-title&gt;Ambio&lt;/secondary-title&gt;&lt;/titles&gt;&lt;periodical&gt;&lt;full-title&gt;Ambio&lt;/full-title&gt;&lt;abbr-1&gt;Ambio&lt;/abbr-1&gt;&lt;/periodical&gt;&lt;pages&gt;33-44&lt;/pages&gt;&lt;volume&gt;36&lt;/volume&gt;&lt;number&gt;1&lt;/number&gt;&lt;dates&gt;&lt;year&gt;2007&lt;/year&gt;&lt;/dates&gt;&lt;urls&gt;&lt;/urls&gt;&lt;/record&gt;&lt;/Cite&gt;&lt;/EndNote&gt;</w:instrText>
      </w:r>
      <w:r>
        <w:fldChar w:fldCharType="separate"/>
      </w:r>
      <w:r w:rsidR="002160C6">
        <w:rPr>
          <w:noProof/>
        </w:rPr>
        <w:t>(Munthe et al., 2007)</w:t>
      </w:r>
      <w:r>
        <w:fldChar w:fldCharType="end"/>
      </w:r>
      <w:r>
        <w:t xml:space="preserve">. A third possible mechanism involves aerobic decomposition of recalcitrant organic matter with sediment exposure and release of more labile forms upon re-flooding. Hg methylation by SRB has been shown to be limited by the availability of organic carbon in some systems </w:t>
      </w:r>
      <w:r>
        <w:fldChar w:fldCharType="begin"/>
      </w:r>
      <w:r w:rsidR="002160C6">
        <w:instrText xml:space="preserve"> ADDIN EN.CITE &lt;EndNote&gt;&lt;Cite&gt;&lt;Author&gt;Mitchell&lt;/Author&gt;&lt;Year&gt;2008&lt;/Year&gt;&lt;RecNum&gt;3640&lt;/RecNum&gt;&lt;DisplayText&gt;(Mitchell et al., 2008)&lt;/DisplayText&gt;&lt;record&gt;&lt;rec-number&gt;3640&lt;/rec-number&gt;&lt;foreign-keys&gt;&lt;key app="EN" db-id="29tf2ez5ssvd0mes5tux0wdox9st5tdt02zx" timestamp="0"&gt;3640&lt;/key&gt;&lt;/foreign-keys&gt;&lt;ref-type name="Journal Article"&gt;17&lt;/ref-type&gt;&lt;contributors&gt;&lt;authors&gt;&lt;author&gt;Mitchell, C.P.J.&lt;/author&gt;&lt;author&gt;Branfireun, B.A.&lt;/author&gt;&lt;author&gt;Kolka, R.K.&lt;/author&gt;&lt;/authors&gt;&lt;/contributors&gt;&lt;titles&gt;&lt;title&gt;Assessing sulfate and carbon controls on net methylmercury production in peatlands: an in situ mesocosm approach&lt;/title&gt;&lt;secondary-title&gt;Applied Geochemistry&lt;/secondary-title&gt;&lt;/titles&gt;&lt;periodical&gt;&lt;full-title&gt;Applied Geochemistry&lt;/full-title&gt;&lt;abbr-1&gt;Appl. Geochem.&lt;/abbr-1&gt;&lt;/periodical&gt;&lt;pages&gt;503-518&lt;/pages&gt;&lt;volume&gt;23&lt;/volume&gt;&lt;dates&gt;&lt;year&gt;2008&lt;/year&gt;&lt;/dates&gt;&lt;urls&gt;&lt;/urls&gt;&lt;/record&gt;&lt;/Cite&gt;&lt;/EndNote&gt;</w:instrText>
      </w:r>
      <w:r>
        <w:fldChar w:fldCharType="separate"/>
      </w:r>
      <w:r w:rsidR="002160C6">
        <w:rPr>
          <w:noProof/>
        </w:rPr>
        <w:t>(Mitchell et al., 2008)</w:t>
      </w:r>
      <w:r>
        <w:fldChar w:fldCharType="end"/>
      </w:r>
      <w:r>
        <w:t>. Exactly which process was most critical for the observed rise in MeHg in the Agassiz Pool is not clear. However, the moderately high sulfate levels in ANWR surface waters would suggest that sulfate itself may not limit MeHg production and that increased availability of either labile organic matter or reactive inorganic mercury may be responsible.</w:t>
      </w:r>
    </w:p>
    <w:p w14:paraId="54A73A94" w14:textId="77777777" w:rsidR="00485F92" w:rsidRDefault="00485F92"/>
    <w:p w14:paraId="2E7F1EC7" w14:textId="77777777" w:rsidR="00485F92" w:rsidRPr="000151BE" w:rsidRDefault="00485F92">
      <w:pPr>
        <w:rPr>
          <w:szCs w:val="24"/>
        </w:rPr>
      </w:pPr>
      <w:r w:rsidRPr="000151BE">
        <w:rPr>
          <w:szCs w:val="24"/>
        </w:rPr>
        <w:t>Regardless of the process(</w:t>
      </w:r>
      <w:proofErr w:type="spellStart"/>
      <w:r w:rsidRPr="000151BE">
        <w:rPr>
          <w:szCs w:val="24"/>
        </w:rPr>
        <w:t>es</w:t>
      </w:r>
      <w:proofErr w:type="spellEnd"/>
      <w:r w:rsidRPr="000151BE">
        <w:rPr>
          <w:szCs w:val="24"/>
        </w:rPr>
        <w:t>) involved, the rise in MeHg levels with water-table manipulation of the Agassiz Pool represents an important documentation of water-level effects on Hg methylation</w:t>
      </w:r>
      <w:r w:rsidR="00587E41" w:rsidRPr="000151BE">
        <w:rPr>
          <w:szCs w:val="24"/>
        </w:rPr>
        <w:t xml:space="preserve"> and biotic uptake</w:t>
      </w:r>
      <w:r w:rsidRPr="000151BE">
        <w:rPr>
          <w:szCs w:val="24"/>
        </w:rPr>
        <w:t xml:space="preserve"> in a prairie-wetland ecosystem. </w:t>
      </w:r>
      <w:r w:rsidR="00587E41" w:rsidRPr="000151BE">
        <w:rPr>
          <w:szCs w:val="24"/>
        </w:rPr>
        <w:t xml:space="preserve">High surface-water concentrations of MeHg </w:t>
      </w:r>
      <w:r w:rsidR="00603570" w:rsidRPr="000151BE">
        <w:rPr>
          <w:szCs w:val="24"/>
        </w:rPr>
        <w:t xml:space="preserve">(upwards of 20 ng/L) </w:t>
      </w:r>
      <w:r w:rsidR="00426D9C" w:rsidRPr="000151BE">
        <w:rPr>
          <w:szCs w:val="24"/>
        </w:rPr>
        <w:t xml:space="preserve">were reported recently from newly created prairie wetlands </w:t>
      </w:r>
      <w:r w:rsidR="00587E41" w:rsidRPr="000151BE">
        <w:rPr>
          <w:szCs w:val="24"/>
        </w:rPr>
        <w:t>in the nearby Glacial Ridge National Wildlife Refug</w:t>
      </w:r>
      <w:r w:rsidR="00426D9C" w:rsidRPr="000151BE">
        <w:rPr>
          <w:szCs w:val="24"/>
        </w:rPr>
        <w:t>e, although, biotic indicators were not measured</w:t>
      </w:r>
      <w:r w:rsidR="00603570" w:rsidRPr="000151BE">
        <w:rPr>
          <w:szCs w:val="24"/>
        </w:rPr>
        <w:t xml:space="preserve"> in that study </w:t>
      </w:r>
      <w:r w:rsidR="002160C6" w:rsidRPr="000151BE">
        <w:rPr>
          <w:szCs w:val="24"/>
        </w:rPr>
        <w:fldChar w:fldCharType="begin"/>
      </w:r>
      <w:r w:rsidR="002160C6" w:rsidRPr="000151BE">
        <w:rPr>
          <w:szCs w:val="24"/>
        </w:rPr>
        <w:instrText xml:space="preserve"> ADDIN EN.CITE &lt;EndNote&gt;&lt;Cite&gt;&lt;Author&gt;Cowdery&lt;/Author&gt;&lt;Year&gt;2013&lt;/Year&gt;&lt;RecNum&gt;4582&lt;/RecNum&gt;&lt;DisplayText&gt;(Cowdery and Brigham, 2013)&lt;/DisplayText&gt;&lt;record&gt;&lt;rec-number&gt;4582&lt;/rec-number&gt;&lt;foreign-keys&gt;&lt;key app="EN" db-id="29tf2ez5ssvd0mes5tux0wdox9st5tdt02zx" timestamp="1395526874"&gt;4582&lt;/key&gt;&lt;/foreign-keys&gt;&lt;ref-type name="Book"&gt;6&lt;/ref-type&gt;&lt;contributors&gt;&lt;authors&gt;&lt;author&gt;Cowdery, T.K.&lt;/author&gt;&lt;author&gt;Brigham, M.E.&lt;/author&gt;&lt;/authors&gt;&lt;/contributors&gt;&lt;titles&gt;&lt;title&gt;Mercury in wetlands at the Glacial Ridge National Wildlife Refuge, northwestern Minnesota, 2007-9: Scientific Investigations Report 2013-5068&lt;/title&gt;&lt;/titles&gt;&lt;pages&gt;1-17&lt;/pages&gt;&lt;dates&gt;&lt;year&gt;2013&lt;/year&gt;&lt;/dates&gt;&lt;pub-location&gt;Reston, VA&lt;/pub-location&gt;&lt;publisher&gt;U.S. Geological Survey&lt;/publisher&gt;&lt;urls&gt;&lt;/urls&gt;&lt;/record&gt;&lt;/Cite&gt;&lt;/EndNote&gt;</w:instrText>
      </w:r>
      <w:r w:rsidR="002160C6" w:rsidRPr="000151BE">
        <w:rPr>
          <w:szCs w:val="24"/>
        </w:rPr>
        <w:fldChar w:fldCharType="separate"/>
      </w:r>
      <w:r w:rsidR="002160C6" w:rsidRPr="000151BE">
        <w:rPr>
          <w:noProof/>
          <w:szCs w:val="24"/>
        </w:rPr>
        <w:t>(Cowdery and Brigham, 2013)</w:t>
      </w:r>
      <w:r w:rsidR="002160C6" w:rsidRPr="000151BE">
        <w:rPr>
          <w:szCs w:val="24"/>
        </w:rPr>
        <w:fldChar w:fldCharType="end"/>
      </w:r>
      <w:r w:rsidR="00426D9C" w:rsidRPr="000151BE">
        <w:rPr>
          <w:szCs w:val="24"/>
        </w:rPr>
        <w:t>.</w:t>
      </w:r>
      <w:r w:rsidR="00587E41" w:rsidRPr="000151BE">
        <w:rPr>
          <w:szCs w:val="24"/>
        </w:rPr>
        <w:t xml:space="preserve"> </w:t>
      </w:r>
      <w:r w:rsidRPr="000151BE">
        <w:rPr>
          <w:szCs w:val="24"/>
        </w:rPr>
        <w:t xml:space="preserve">Most prior studies of water-level effects have involved systems located in low-sulfur landscapes such as ombrotrophic wetlands and boreal lakes. The observation that water-level fluctuations in prairie wetlands can increase biotic exposure to MeHg is important for understanding the effects of natural hydrologic variation as well as those associated with wetland management. </w:t>
      </w:r>
    </w:p>
    <w:p w14:paraId="5DCC780E" w14:textId="77777777" w:rsidR="00485F92" w:rsidRDefault="00485F92"/>
    <w:p w14:paraId="0826A108" w14:textId="77777777" w:rsidR="00485F92" w:rsidRDefault="00485F92">
      <w:r>
        <w:t>Increased Hg methylation</w:t>
      </w:r>
      <w:r w:rsidR="00A34ADF">
        <w:t xml:space="preserve"> over a relatively short time span</w:t>
      </w:r>
      <w:r>
        <w:t>, as documented here for the ANWR, is an unintended consequence of well-accepted management techniques for controlling invasive vegetation and enhancing overall wetland quality for support of waterfowl populations. The fact that it manifest</w:t>
      </w:r>
      <w:r w:rsidR="00A71B6D">
        <w:t>s</w:t>
      </w:r>
      <w:r>
        <w:t xml:space="preserve"> in higher Hg levels in amphipods and small fish, which are important food organisms for </w:t>
      </w:r>
      <w:proofErr w:type="spellStart"/>
      <w:r>
        <w:t>waterbirds</w:t>
      </w:r>
      <w:proofErr w:type="spellEnd"/>
      <w:r>
        <w:t>, might be initially alarming. However, the study reported here was of short duration and includes but a single post-drawdown year. It is quite possible that the observed rise in MeHg is very transitory and that MeHg levels in biota will return to pre-</w:t>
      </w:r>
      <w:r>
        <w:lastRenderedPageBreak/>
        <w:t xml:space="preserve">drawdown conditions in just a few more seasons as limiting reactants (sulfate, organic matter, reactive-Hg) are gradually depleted. A previous study of Hg levels in </w:t>
      </w:r>
      <w:proofErr w:type="spellStart"/>
      <w:r>
        <w:t>waterbirds</w:t>
      </w:r>
      <w:proofErr w:type="spellEnd"/>
      <w:r>
        <w:t xml:space="preserve"> and tree swallows at ANWR showed no measurable increases following an earlier drawdown of the Agassiz Pool in 2000 </w:t>
      </w:r>
      <w:r>
        <w:fldChar w:fldCharType="begin"/>
      </w:r>
      <w:r w:rsidR="002160C6">
        <w:instrText xml:space="preserve"> ADDIN EN.CITE &lt;EndNote&gt;&lt;Cite&gt;&lt;Author&gt;Custer&lt;/Author&gt;&lt;Year&gt;2003&lt;/Year&gt;&lt;RecNum&gt;4135&lt;/RecNum&gt;&lt;DisplayText&gt;(Custer and Custer, 2003; Custer et al., 2006)&lt;/DisplayText&gt;&lt;record&gt;&lt;rec-number&gt;4135&lt;/rec-number&gt;&lt;foreign-keys&gt;&lt;key app="EN" db-id="29tf2ez5ssvd0mes5tux0wdox9st5tdt02zx" timestamp="0"&gt;4135&lt;/key&gt;&lt;/foreign-keys&gt;&lt;ref-type name="Report"&gt;27&lt;/ref-type&gt;&lt;contributors&gt;&lt;authors&gt;&lt;author&gt;Custer, C.M.&lt;/author&gt;&lt;author&gt;Custer, T.W.&lt;/author&gt;&lt;/authors&gt;&lt;/contributors&gt;&lt;titles&gt;&lt;title&gt;Exposure and effects of metal accumulations by wildlife on Agassiz National Wildlife Refuge&lt;/title&gt;&lt;/titles&gt;&lt;pages&gt;1-107&lt;/pages&gt;&lt;dates&gt;&lt;year&gt;2003&lt;/year&gt;&lt;/dates&gt;&lt;pub-location&gt;La Crosse, WI&lt;/pub-location&gt;&lt;publisher&gt;U.S. Geological Survey, Upper Midwest Environmental Sciences Center&lt;/publisher&gt;&lt;urls&gt;&lt;/urls&gt;&lt;/record&gt;&lt;/Cite&gt;&lt;Cite&gt;&lt;Author&gt;Custer&lt;/Author&gt;&lt;Year&gt;2006&lt;/Year&gt;&lt;RecNum&gt;4134&lt;/RecNum&gt;&lt;record&gt;&lt;rec-number&gt;4134&lt;/rec-number&gt;&lt;foreign-keys&gt;&lt;key app="EN" db-id="29tf2ez5ssvd0mes5tux0wdox9st5tdt02zx" timestamp="0"&gt;4134&lt;/key&gt;&lt;/foreign-keys&gt;&lt;ref-type name="Journal Article"&gt;17&lt;/ref-type&gt;&lt;contributors&gt;&lt;authors&gt;&lt;author&gt;Custer, C.M.&lt;/author&gt;&lt;author&gt;Custer, T.W.&lt;/author&gt;&lt;author&gt;Warburton, D.&lt;/author&gt;&lt;author&gt;Hoffman, D.J.&lt;/author&gt;&lt;author&gt;Bickham, J.W.&lt;/author&gt;&lt;author&gt;Matson, C.W.&lt;/author&gt;&lt;/authors&gt;&lt;/contributors&gt;&lt;titles&gt;&lt;title&gt;Trace element concentrations and bioindicator responses in tree swallows from northwestern Minnesota&lt;/title&gt;&lt;secondary-title&gt;Environmental Monitoring and Assessment&lt;/secondary-title&gt;&lt;/titles&gt;&lt;periodical&gt;&lt;full-title&gt;Environmental Monitoring and Assessment&lt;/full-title&gt;&lt;abbr-1&gt;Environ. Monit. Assess.&lt;/abbr-1&gt;&lt;/periodical&gt;&lt;pages&gt;247-266&lt;/pages&gt;&lt;volume&gt;118&lt;/volume&gt;&lt;dates&gt;&lt;year&gt;2006&lt;/year&gt;&lt;/dates&gt;&lt;urls&gt;&lt;/urls&gt;&lt;/record&gt;&lt;/Cite&gt;&lt;/EndNote&gt;</w:instrText>
      </w:r>
      <w:r>
        <w:fldChar w:fldCharType="separate"/>
      </w:r>
      <w:r w:rsidR="002160C6">
        <w:rPr>
          <w:noProof/>
        </w:rPr>
        <w:t>(Custer and Custer, 2003; Custer et al., 2006)</w:t>
      </w:r>
      <w:r>
        <w:fldChar w:fldCharType="end"/>
      </w:r>
      <w:r>
        <w:t xml:space="preserve">. Such results suggest that the effects of water-level drawdown are either short lived or that the MeHg increases are rather small and do not register in wildlife that can forage over multiple wetlands. Indeed, the MeHg increases observed in sediments and food organisms in the Agassiz Pool, while statistically significant, are relatively modest and do not greatly exceed concentrations measured in the Headquarters control pool over the course of the study. Overall, results of this investigation confirm the anticipated risk that water-level manipulations might increase biotic mercury exposure, </w:t>
      </w:r>
      <w:r w:rsidR="007D50E2">
        <w:t xml:space="preserve">a concern that needs to </w:t>
      </w:r>
      <w:r>
        <w:t>be balanced against the habitat benefits associated with water-level management.</w:t>
      </w:r>
    </w:p>
    <w:p w14:paraId="4CFC719E" w14:textId="77777777" w:rsidR="00485F92" w:rsidRDefault="00485F92"/>
    <w:p w14:paraId="0B9F9FB4" w14:textId="77777777" w:rsidR="006472FD" w:rsidRDefault="006472FD"/>
    <w:p w14:paraId="05BE860D" w14:textId="77777777" w:rsidR="00485F92" w:rsidRDefault="00485F92">
      <w:pPr>
        <w:rPr>
          <w:b/>
        </w:rPr>
      </w:pPr>
      <w:r>
        <w:rPr>
          <w:b/>
        </w:rPr>
        <w:t>ACKNOWLEDGEMENTS</w:t>
      </w:r>
    </w:p>
    <w:p w14:paraId="79294309" w14:textId="77777777" w:rsidR="00485F92" w:rsidRDefault="00485F92"/>
    <w:p w14:paraId="3EFDB7D1" w14:textId="77777777" w:rsidR="00485F92" w:rsidRPr="00FB00CA" w:rsidRDefault="00485F92">
      <w:r>
        <w:t xml:space="preserve">Field sampling for this project was carried out by Gregg </w:t>
      </w:r>
      <w:proofErr w:type="spellStart"/>
      <w:r>
        <w:t>Knutsen</w:t>
      </w:r>
      <w:proofErr w:type="spellEnd"/>
      <w:r>
        <w:t xml:space="preserve"> and staff of the Agassiz National Wildlife Refuge. </w:t>
      </w:r>
      <w:proofErr w:type="spellStart"/>
      <w:r>
        <w:t>Toben</w:t>
      </w:r>
      <w:proofErr w:type="spellEnd"/>
      <w:r>
        <w:t xml:space="preserve"> </w:t>
      </w:r>
      <w:proofErr w:type="spellStart"/>
      <w:r>
        <w:t>LaFrancois</w:t>
      </w:r>
      <w:proofErr w:type="spellEnd"/>
      <w:r>
        <w:t xml:space="preserve"> (SCWRS) assisted in the development of field protocols and provided taxonomic identification of amphipod collections, and Jill Coleman Wasik coordinate water-chemistry analyses at the SCWRS. Funding for the research was provided by the U.S. Fish and Wildlife Service.</w:t>
      </w:r>
    </w:p>
    <w:p w14:paraId="26819708" w14:textId="77777777" w:rsidR="00485F92" w:rsidRDefault="00485F92"/>
    <w:p w14:paraId="548BDA08" w14:textId="77777777" w:rsidR="00485F92" w:rsidRPr="00744BE8" w:rsidRDefault="00485F92">
      <w:pPr>
        <w:rPr>
          <w:b/>
        </w:rPr>
      </w:pPr>
      <w:r>
        <w:rPr>
          <w:b/>
        </w:rPr>
        <w:t>REFERENCES</w:t>
      </w:r>
    </w:p>
    <w:p w14:paraId="143853BA" w14:textId="77777777" w:rsidR="00485F92" w:rsidRDefault="00485F92"/>
    <w:p w14:paraId="4FF0D2D9" w14:textId="77777777" w:rsidR="008A292B" w:rsidRPr="008A292B" w:rsidRDefault="00485F92" w:rsidP="008A292B">
      <w:pPr>
        <w:pStyle w:val="EndNoteBibliography"/>
        <w:spacing w:before="120"/>
        <w:ind w:left="360" w:hanging="360"/>
        <w:rPr>
          <w:noProof/>
        </w:rPr>
      </w:pPr>
      <w:r w:rsidRPr="00D37ECE">
        <w:rPr>
          <w:sz w:val="22"/>
        </w:rPr>
        <w:fldChar w:fldCharType="begin"/>
      </w:r>
      <w:r w:rsidRPr="00D37ECE">
        <w:rPr>
          <w:sz w:val="22"/>
        </w:rPr>
        <w:instrText xml:space="preserve"> ADDIN EN.REFLIST </w:instrText>
      </w:r>
      <w:r w:rsidRPr="00D37ECE">
        <w:rPr>
          <w:sz w:val="22"/>
        </w:rPr>
        <w:fldChar w:fldCharType="separate"/>
      </w:r>
      <w:r w:rsidR="008A292B" w:rsidRPr="008A292B">
        <w:rPr>
          <w:noProof/>
        </w:rPr>
        <w:t>Bates, L.M., Hall, B.D., 2012. Concentrations of methylmercury in invertebrates from wetlands of the Prairie Pothole Region of North America. Environ. Pollut. 160, 153-160.</w:t>
      </w:r>
    </w:p>
    <w:p w14:paraId="64D5A539" w14:textId="77777777" w:rsidR="008A292B" w:rsidRPr="008A292B" w:rsidRDefault="008A292B" w:rsidP="008A292B">
      <w:pPr>
        <w:pStyle w:val="EndNoteBibliography"/>
        <w:spacing w:before="120"/>
        <w:ind w:left="360" w:hanging="360"/>
        <w:rPr>
          <w:noProof/>
        </w:rPr>
      </w:pPr>
      <w:r w:rsidRPr="008A292B">
        <w:rPr>
          <w:noProof/>
        </w:rPr>
        <w:t>Benoit, J.M., Gilmour, C.C., Mason, R.P., Heyes, A., 1999. Sulfide controls on mercury speciation and bioavailability to methylating bacteria in sediment pore waters. Environ. Sci. Technol. 33, 951-957.</w:t>
      </w:r>
    </w:p>
    <w:p w14:paraId="7330661A" w14:textId="77777777" w:rsidR="008A292B" w:rsidRPr="008A292B" w:rsidRDefault="008A292B" w:rsidP="008A292B">
      <w:pPr>
        <w:pStyle w:val="EndNoteBibliography"/>
        <w:spacing w:before="120"/>
        <w:ind w:left="360" w:hanging="360"/>
        <w:rPr>
          <w:noProof/>
        </w:rPr>
      </w:pPr>
      <w:r w:rsidRPr="008A292B">
        <w:rPr>
          <w:noProof/>
        </w:rPr>
        <w:t>Branfireun, B.A., Roulet, N.T., Kelly, C.A., Rudd, J.W.M., 1999. In situ sulphate stimulation of mercury methylation in a boreal peatland: toward a link between acid rain and methylmercury contamination in remote environments. Glob. Biogeochem. Cycles 13, 743-750.</w:t>
      </w:r>
    </w:p>
    <w:p w14:paraId="22C9F0F4" w14:textId="77777777" w:rsidR="008A292B" w:rsidRPr="008A292B" w:rsidRDefault="008A292B" w:rsidP="008A292B">
      <w:pPr>
        <w:pStyle w:val="EndNoteBibliography"/>
        <w:spacing w:before="120"/>
        <w:ind w:left="360" w:hanging="360"/>
        <w:rPr>
          <w:noProof/>
        </w:rPr>
      </w:pPr>
      <w:r w:rsidRPr="008A292B">
        <w:rPr>
          <w:noProof/>
        </w:rPr>
        <w:t>Cowdery, T.K., Brigham, M.E., 2013. Mercury in wetlands at the Glacial Ridge National Wildlife Refuge, northwestern Minnesota, 2007-9: Scientific Investigations Report 2013-5068. U.S. Geological Survey, Reston, VA.</w:t>
      </w:r>
    </w:p>
    <w:p w14:paraId="382D7DB5" w14:textId="77777777" w:rsidR="008A292B" w:rsidRPr="008A292B" w:rsidRDefault="008A292B" w:rsidP="008A292B">
      <w:pPr>
        <w:pStyle w:val="EndNoteBibliography"/>
        <w:spacing w:before="120"/>
        <w:ind w:left="360" w:hanging="360"/>
        <w:rPr>
          <w:noProof/>
        </w:rPr>
      </w:pPr>
      <w:r w:rsidRPr="008A292B">
        <w:rPr>
          <w:noProof/>
        </w:rPr>
        <w:t>Custer, C.M., Custer, T.W., 2003. Exposure and effects of metal accumulations by wildlife on Agassiz National Wildlife Refuge. U.S. Geological Survey, Upper Midwest Environmental Sciences Center, La Crosse, WI, pp. 1-107.</w:t>
      </w:r>
    </w:p>
    <w:p w14:paraId="443C6404" w14:textId="77777777" w:rsidR="008A292B" w:rsidRPr="008A292B" w:rsidRDefault="008A292B" w:rsidP="008A292B">
      <w:pPr>
        <w:pStyle w:val="EndNoteBibliography"/>
        <w:spacing w:before="120"/>
        <w:ind w:left="360" w:hanging="360"/>
        <w:rPr>
          <w:noProof/>
        </w:rPr>
      </w:pPr>
      <w:r w:rsidRPr="008A292B">
        <w:rPr>
          <w:noProof/>
        </w:rPr>
        <w:t>Custer, C.M., Custer, T.W., Warburton, D., Hoffman, D.J., Bickham, J.W., Matson, C.W., 2006. Trace element concentrations and bioindicator responses in tree swallows from northwestern Minnesota. Environ. Monit. Assess. 118, 247-266.</w:t>
      </w:r>
    </w:p>
    <w:p w14:paraId="5BD5D06F" w14:textId="77777777" w:rsidR="008A292B" w:rsidRPr="008A292B" w:rsidRDefault="008A292B" w:rsidP="008A292B">
      <w:pPr>
        <w:pStyle w:val="EndNoteBibliography"/>
        <w:spacing w:before="120"/>
        <w:ind w:left="360" w:hanging="360"/>
        <w:rPr>
          <w:noProof/>
        </w:rPr>
      </w:pPr>
      <w:r w:rsidRPr="008A292B">
        <w:rPr>
          <w:noProof/>
        </w:rPr>
        <w:lastRenderedPageBreak/>
        <w:t>Fitzgerald, W.F., Engstrom, D.R., Mason, R.P., Nater, E.A., 1998. The case for atmospheric mercury contamination in remote areas. Environ. Sci. Technol. 32, 1-7.</w:t>
      </w:r>
    </w:p>
    <w:p w14:paraId="34AA0A24" w14:textId="77777777" w:rsidR="008A292B" w:rsidRPr="008A292B" w:rsidRDefault="008A292B" w:rsidP="008A292B">
      <w:pPr>
        <w:pStyle w:val="EndNoteBibliography"/>
        <w:spacing w:before="120"/>
        <w:ind w:left="360" w:hanging="360"/>
        <w:rPr>
          <w:noProof/>
        </w:rPr>
      </w:pPr>
      <w:r w:rsidRPr="008A292B">
        <w:rPr>
          <w:noProof/>
        </w:rPr>
        <w:t>Gilmour, C., Krabbenhoft, D., Orem, W.H., Aiken, G., 2004. Appendix 2B-1: Influence of drying and rewetting on mercury and sulfur cycling in everglades and STA soils. Everglades Consolidated Report. South Florida Water Management District, West Palm Beach, FL.</w:t>
      </w:r>
    </w:p>
    <w:p w14:paraId="7A53DC6B" w14:textId="77777777" w:rsidR="008A292B" w:rsidRPr="008A292B" w:rsidRDefault="008A292B" w:rsidP="008A292B">
      <w:pPr>
        <w:pStyle w:val="EndNoteBibliography"/>
        <w:spacing w:before="120"/>
        <w:ind w:left="360" w:hanging="360"/>
        <w:rPr>
          <w:noProof/>
        </w:rPr>
      </w:pPr>
      <w:r w:rsidRPr="008A292B">
        <w:rPr>
          <w:noProof/>
        </w:rPr>
        <w:t>Gilmour, C.C., Henry, E.A., Mitchell, R., 1992. Sulfate stimulation of mercury methylation in freshwater sediments. Environ. Sci. Technol. 26, 2881-2887.</w:t>
      </w:r>
    </w:p>
    <w:p w14:paraId="7E3BF0CD" w14:textId="77777777" w:rsidR="008A292B" w:rsidRPr="008A292B" w:rsidRDefault="008A292B" w:rsidP="008A292B">
      <w:pPr>
        <w:pStyle w:val="EndNoteBibliography"/>
        <w:spacing w:before="120"/>
        <w:ind w:left="360" w:hanging="360"/>
        <w:rPr>
          <w:noProof/>
        </w:rPr>
      </w:pPr>
      <w:r w:rsidRPr="008A292B">
        <w:rPr>
          <w:noProof/>
        </w:rPr>
        <w:t>Gorham, E., Dean, W.E., Sanger, J.E., 1983. The chemical composition of lakes in the north-central United States. Limnol. Oceanogr. 28, 287-301.</w:t>
      </w:r>
    </w:p>
    <w:p w14:paraId="5C91D318" w14:textId="77777777" w:rsidR="008A292B" w:rsidRPr="008A292B" w:rsidRDefault="008A292B" w:rsidP="008A292B">
      <w:pPr>
        <w:pStyle w:val="EndNoteBibliography"/>
        <w:spacing w:before="120"/>
        <w:ind w:left="360" w:hanging="360"/>
        <w:rPr>
          <w:noProof/>
        </w:rPr>
      </w:pPr>
      <w:r w:rsidRPr="008A292B">
        <w:rPr>
          <w:noProof/>
        </w:rPr>
        <w:t>Hammerschmidt, C.R., Fitzgerald, W.F., 2005. Methylmercury in mosquitoes related to atmospheric mercury deposition and contamination. Environ. Sci. Technol. 39, 3034-3039.</w:t>
      </w:r>
    </w:p>
    <w:p w14:paraId="615C2BD7" w14:textId="77777777" w:rsidR="008A292B" w:rsidRPr="008A292B" w:rsidRDefault="008A292B" w:rsidP="008A292B">
      <w:pPr>
        <w:pStyle w:val="EndNoteBibliography"/>
        <w:spacing w:before="120"/>
        <w:ind w:left="360" w:hanging="360"/>
        <w:rPr>
          <w:noProof/>
        </w:rPr>
      </w:pPr>
      <w:r w:rsidRPr="008A292B">
        <w:rPr>
          <w:noProof/>
        </w:rPr>
        <w:t>Heiri, O., Lotter, A.F., Lemcke, G., 2001. Loss on ignition as a method for estimating organic and carbonate content in sediments: reproducibility and comparability of results. J. Paleolimnol. 25, 101-110.</w:t>
      </w:r>
    </w:p>
    <w:p w14:paraId="280AB511" w14:textId="77777777" w:rsidR="008A292B" w:rsidRPr="008A292B" w:rsidRDefault="008A292B" w:rsidP="008A292B">
      <w:pPr>
        <w:pStyle w:val="EndNoteBibliography"/>
        <w:spacing w:before="120"/>
        <w:ind w:left="360" w:hanging="360"/>
        <w:rPr>
          <w:noProof/>
        </w:rPr>
      </w:pPr>
      <w:r w:rsidRPr="008A292B">
        <w:rPr>
          <w:noProof/>
        </w:rPr>
        <w:t>Holsinger, J.R., 1976. The Freshwater Amphipod Crustaceans (Gammaridae) of North America, 2nd ed.  WPCRS 18050 ELD04/72. U.S. Environmental Protection Agency.</w:t>
      </w:r>
    </w:p>
    <w:p w14:paraId="3DD11E79" w14:textId="77777777" w:rsidR="008A292B" w:rsidRPr="008A292B" w:rsidRDefault="008A292B" w:rsidP="008A292B">
      <w:pPr>
        <w:pStyle w:val="EndNoteBibliography"/>
        <w:spacing w:before="120"/>
        <w:ind w:left="360" w:hanging="360"/>
        <w:rPr>
          <w:noProof/>
        </w:rPr>
      </w:pPr>
      <w:r w:rsidRPr="008A292B">
        <w:rPr>
          <w:noProof/>
        </w:rPr>
        <w:t>Horvat, M., Liang, L., Bloom, N.S., 1993. Comparison of distillation with other current isolation methods for the determination of methyl mercury compounds in low level environmental samples. Part II. Water. Anal. Chim. Acta 282, 153-168.</w:t>
      </w:r>
    </w:p>
    <w:p w14:paraId="1A8AE4DF" w14:textId="77777777" w:rsidR="008A292B" w:rsidRPr="008A292B" w:rsidRDefault="008A292B" w:rsidP="008A292B">
      <w:pPr>
        <w:pStyle w:val="EndNoteBibliography"/>
        <w:spacing w:before="120"/>
        <w:ind w:left="360" w:hanging="360"/>
        <w:rPr>
          <w:noProof/>
        </w:rPr>
      </w:pPr>
      <w:r w:rsidRPr="008A292B">
        <w:rPr>
          <w:noProof/>
        </w:rPr>
        <w:t>Mitchell, C.P.J., Branfireun, B.A., Kolka, R.K., 2008. Assessing sulfate and carbon controls on net methylmercury production in peatlands: an in situ mesocosm approach. Appl. Geochem. 23, 503-518.</w:t>
      </w:r>
    </w:p>
    <w:p w14:paraId="5D7AFB7A" w14:textId="77777777" w:rsidR="008A292B" w:rsidRPr="008A292B" w:rsidRDefault="008A292B" w:rsidP="008A292B">
      <w:pPr>
        <w:pStyle w:val="EndNoteBibliography"/>
        <w:spacing w:before="120"/>
        <w:ind w:left="360" w:hanging="360"/>
        <w:rPr>
          <w:noProof/>
        </w:rPr>
      </w:pPr>
      <w:r w:rsidRPr="008A292B">
        <w:rPr>
          <w:noProof/>
        </w:rPr>
        <w:t>Munthe, J., Bodaly, R.A., Branfireun, B.A., Driscoll, C.T., Gilmour, C.C., Harris, R., Horvat, M., Lucotte, M., Malm, O., 2007. Recovery of mercury-contaminated fisheries. Ambio 36, 33-44.</w:t>
      </w:r>
    </w:p>
    <w:p w14:paraId="520E6790" w14:textId="77777777" w:rsidR="008A292B" w:rsidRPr="008A292B" w:rsidRDefault="008A292B" w:rsidP="008A292B">
      <w:pPr>
        <w:pStyle w:val="EndNoteBibliography"/>
        <w:spacing w:before="120"/>
        <w:ind w:left="360" w:hanging="360"/>
        <w:rPr>
          <w:noProof/>
        </w:rPr>
      </w:pPr>
      <w:r w:rsidRPr="008A292B">
        <w:rPr>
          <w:noProof/>
        </w:rPr>
        <w:t>Olson, M.L., Cleckner, L.B., J.P., H., Krabbenhoft, D.P., Heelan, T.W., 1997. Resolution of matrix effects on analysis of total and methyl mercury in aqueous samples from the Florida Everglades. Fresenius J. Anal. Chem. 358, 392-396.</w:t>
      </w:r>
    </w:p>
    <w:p w14:paraId="0DA7DCE7" w14:textId="77777777" w:rsidR="008A292B" w:rsidRPr="008A292B" w:rsidRDefault="008A292B" w:rsidP="008A292B">
      <w:pPr>
        <w:pStyle w:val="EndNoteBibliography"/>
        <w:spacing w:before="120"/>
        <w:ind w:left="360" w:hanging="360"/>
        <w:rPr>
          <w:noProof/>
        </w:rPr>
      </w:pPr>
      <w:r w:rsidRPr="008A292B">
        <w:rPr>
          <w:noProof/>
        </w:rPr>
        <w:t>Orem, W.H., Gilmour, C., Axlelrad, D., Krabbenhoft, D., Scheidt, D., Kalla, P., McCormac, P., Gabriel, M., Aiken, G., 2011. Sulfur in the south Florida ecosystem: distribution, sources, biogeochemistry, impacts, and management for restoration. Crit. Rev. Environ. Sci. Technol. 41(S1), 249-288.</w:t>
      </w:r>
    </w:p>
    <w:p w14:paraId="7BD2385F" w14:textId="77777777" w:rsidR="008A292B" w:rsidRPr="008A292B" w:rsidRDefault="008A292B" w:rsidP="008A292B">
      <w:pPr>
        <w:pStyle w:val="EndNoteBibliography"/>
        <w:spacing w:before="120"/>
        <w:ind w:left="360" w:hanging="360"/>
        <w:rPr>
          <w:noProof/>
        </w:rPr>
      </w:pPr>
      <w:r w:rsidRPr="008A292B">
        <w:rPr>
          <w:noProof/>
        </w:rPr>
        <w:t>Parks, J.M., Johs, A., Podar, M., Bridou, R., Hurt, R.A., Smith, S.D., Tomanicek, S.J., Qian, Y., Brown, S.D., Brandt, C.C., Palumbo, A.V., Smith, J.C., Wall, J.D., Elias, D.A., Liang, L., 2013. The genetic basis for bacterial mercury methylation. Science 339, 1332-1335.</w:t>
      </w:r>
    </w:p>
    <w:p w14:paraId="4AC98607" w14:textId="77777777" w:rsidR="008A292B" w:rsidRPr="008A292B" w:rsidRDefault="008A292B" w:rsidP="008A292B">
      <w:pPr>
        <w:pStyle w:val="EndNoteBibliography"/>
        <w:spacing w:before="120"/>
        <w:ind w:left="360" w:hanging="360"/>
        <w:rPr>
          <w:noProof/>
        </w:rPr>
      </w:pPr>
      <w:r w:rsidRPr="008A292B">
        <w:rPr>
          <w:noProof/>
        </w:rPr>
        <w:t>Porvari, P., 1998. Development of fish mercury concentrations in Finnish reservoirs from 1979 to 1994. Sci. Tot. Environ. 213, 279-290.</w:t>
      </w:r>
    </w:p>
    <w:p w14:paraId="30279B94" w14:textId="77777777" w:rsidR="008A292B" w:rsidRPr="008A292B" w:rsidRDefault="008A292B" w:rsidP="008A292B">
      <w:pPr>
        <w:pStyle w:val="EndNoteBibliography"/>
        <w:spacing w:before="120"/>
        <w:ind w:left="360" w:hanging="360"/>
        <w:rPr>
          <w:noProof/>
        </w:rPr>
      </w:pPr>
      <w:r w:rsidRPr="008A292B">
        <w:rPr>
          <w:noProof/>
        </w:rPr>
        <w:t>Rumbold, D.G., Fink, L.E., 2006. Extreme spatial variability and unprecedented methylmercury concentrations within a constructed wetland. Environ. Monit. Assess. 112, 115-135.</w:t>
      </w:r>
    </w:p>
    <w:p w14:paraId="7A8838DB" w14:textId="77777777" w:rsidR="008A292B" w:rsidRPr="008A292B" w:rsidRDefault="008A292B" w:rsidP="008A292B">
      <w:pPr>
        <w:pStyle w:val="EndNoteBibliography"/>
        <w:spacing w:before="120"/>
        <w:ind w:left="360" w:hanging="360"/>
        <w:rPr>
          <w:noProof/>
        </w:rPr>
      </w:pPr>
      <w:r w:rsidRPr="008A292B">
        <w:rPr>
          <w:noProof/>
        </w:rPr>
        <w:lastRenderedPageBreak/>
        <w:t>Sando, S.K., Krabbenhoft, D.P., Johnson, K.M., Lundgren, R.F., Emerson, D.G., 2007. Mercury and methylmercury in water and bottom sediments of wetlands at Lostwood National Wildlife Refuge, North Dakota, 2003-04:  Scientific Investigations Report 2007–5219. U.S. Geological Survey, Reston, VA.</w:t>
      </w:r>
    </w:p>
    <w:p w14:paraId="56FA1D52" w14:textId="77777777" w:rsidR="008A292B" w:rsidRPr="008A292B" w:rsidRDefault="008A292B" w:rsidP="008A292B">
      <w:pPr>
        <w:pStyle w:val="EndNoteBibliography"/>
        <w:spacing w:before="120"/>
        <w:ind w:left="360" w:hanging="360"/>
        <w:rPr>
          <w:noProof/>
        </w:rPr>
      </w:pPr>
      <w:r w:rsidRPr="008A292B">
        <w:rPr>
          <w:noProof/>
        </w:rPr>
        <w:t>Sorensen, J.A., Kallemeyn, L.W., Sydor, M., 2005. Relationship between mercury accumulation in young-of-the-year yellow perch and water-level fluctuations. Environ. Sci. Technol. 39, 9237-9243.</w:t>
      </w:r>
    </w:p>
    <w:p w14:paraId="5443C50E" w14:textId="77777777" w:rsidR="008A292B" w:rsidRPr="008A292B" w:rsidRDefault="008A292B" w:rsidP="008A292B">
      <w:pPr>
        <w:pStyle w:val="EndNoteBibliography"/>
        <w:spacing w:before="120"/>
        <w:ind w:left="360" w:hanging="360"/>
        <w:rPr>
          <w:noProof/>
        </w:rPr>
      </w:pPr>
      <w:r w:rsidRPr="008A292B">
        <w:rPr>
          <w:noProof/>
        </w:rPr>
        <w:t>Wiener, J.G., Knights, B.C., Sandheinrich, M.B., Jeremiason, J.D., Brigham, M.E., Engstrom, D.R., Woodruff, L.G., Cannon, W.F., Balogh, S.J., 2006. Mercury in soils, lakes, an fish in Voyageurs National Park (Minnesota): importance of atmospheric deposition and ecosystem factors. Environ. Sci. Technol. 20, 6281-6286.</w:t>
      </w:r>
    </w:p>
    <w:p w14:paraId="46EB8400" w14:textId="77777777" w:rsidR="00485F92" w:rsidRDefault="00485F92" w:rsidP="008A292B">
      <w:pPr>
        <w:spacing w:before="120" w:after="60"/>
        <w:ind w:left="360" w:hanging="360"/>
        <w:sectPr w:rsidR="00485F92">
          <w:footerReference w:type="even" r:id="rId9"/>
          <w:footerReference w:type="default" r:id="rId10"/>
          <w:pgSz w:w="12240" w:h="15840"/>
          <w:pgMar w:top="1440" w:right="1440" w:bottom="1440" w:left="1440" w:header="720" w:footer="720" w:gutter="0"/>
          <w:pgNumType w:start="1"/>
          <w:cols w:space="720"/>
        </w:sectPr>
      </w:pPr>
      <w:r w:rsidRPr="00D37ECE">
        <w:rPr>
          <w:sz w:val="22"/>
        </w:rPr>
        <w:fldChar w:fldCharType="end"/>
      </w:r>
    </w:p>
    <w:p w14:paraId="5433CCA4" w14:textId="77777777" w:rsidR="00485F92" w:rsidRDefault="00485F92">
      <w:r>
        <w:lastRenderedPageBreak/>
        <w:t>Table 1. Quality assurance (QA) summary for mercury analyses</w:t>
      </w:r>
    </w:p>
    <w:p w14:paraId="623E84D8" w14:textId="77777777" w:rsidR="00485F92" w:rsidRDefault="00485F92"/>
    <w:tbl>
      <w:tblPr>
        <w:tblW w:w="9690" w:type="dxa"/>
        <w:tblInd w:w="18" w:type="dxa"/>
        <w:tblLook w:val="0000" w:firstRow="0" w:lastRow="0" w:firstColumn="0" w:lastColumn="0" w:noHBand="0" w:noVBand="0"/>
      </w:tblPr>
      <w:tblGrid>
        <w:gridCol w:w="2150"/>
        <w:gridCol w:w="1300"/>
        <w:gridCol w:w="2080"/>
        <w:gridCol w:w="2080"/>
        <w:gridCol w:w="2080"/>
      </w:tblGrid>
      <w:tr w:rsidR="00485F92" w:rsidRPr="00FB00CA" w14:paraId="5681042A" w14:textId="77777777">
        <w:trPr>
          <w:trHeight w:val="280"/>
        </w:trPr>
        <w:tc>
          <w:tcPr>
            <w:tcW w:w="2150" w:type="dxa"/>
            <w:tcBorders>
              <w:top w:val="single" w:sz="6" w:space="0" w:color="auto"/>
              <w:left w:val="nil"/>
              <w:right w:val="nil"/>
            </w:tcBorders>
            <w:shd w:val="clear" w:color="auto" w:fill="auto"/>
            <w:noWrap/>
            <w:vAlign w:val="bottom"/>
          </w:tcPr>
          <w:p w14:paraId="137B476F" w14:textId="77777777" w:rsidR="00485F92" w:rsidRPr="00FB00CA" w:rsidRDefault="00485F92" w:rsidP="00485F92">
            <w:pPr>
              <w:spacing w:before="60"/>
              <w:rPr>
                <w:rFonts w:ascii="Geneva" w:hAnsi="Geneva"/>
                <w:b/>
                <w:color w:val="000000"/>
                <w:sz w:val="22"/>
                <w:lang w:bidi="x-none"/>
              </w:rPr>
            </w:pPr>
            <w:r w:rsidRPr="00FB00CA">
              <w:rPr>
                <w:rFonts w:ascii="Arial" w:hAnsi="Arial"/>
                <w:b/>
                <w:color w:val="000000"/>
                <w:sz w:val="22"/>
                <w:lang w:bidi="x-none"/>
              </w:rPr>
              <w:t>Sediment Hg</w:t>
            </w:r>
            <w:r w:rsidRPr="00FB00CA">
              <w:rPr>
                <w:rFonts w:ascii="Arial" w:hAnsi="Arial"/>
                <w:b/>
                <w:color w:val="000000"/>
                <w:sz w:val="22"/>
                <w:vertAlign w:val="subscript"/>
                <w:lang w:bidi="x-none"/>
              </w:rPr>
              <w:t>T</w:t>
            </w:r>
            <w:r w:rsidRPr="00FB00CA">
              <w:rPr>
                <w:rFonts w:ascii="Arial" w:hAnsi="Arial"/>
                <w:b/>
                <w:color w:val="000000"/>
                <w:sz w:val="22"/>
                <w:lang w:bidi="x-none"/>
              </w:rPr>
              <w:t xml:space="preserve"> QA</w:t>
            </w:r>
          </w:p>
        </w:tc>
        <w:tc>
          <w:tcPr>
            <w:tcW w:w="1300" w:type="dxa"/>
            <w:tcBorders>
              <w:top w:val="single" w:sz="6" w:space="0" w:color="auto"/>
              <w:left w:val="nil"/>
              <w:right w:val="nil"/>
            </w:tcBorders>
            <w:shd w:val="clear" w:color="auto" w:fill="auto"/>
            <w:noWrap/>
            <w:vAlign w:val="bottom"/>
          </w:tcPr>
          <w:p w14:paraId="7B70358D" w14:textId="77777777" w:rsidR="00485F92" w:rsidRPr="00FB00CA" w:rsidRDefault="00485F92" w:rsidP="00485F92">
            <w:pPr>
              <w:rPr>
                <w:rFonts w:ascii="Geneva" w:hAnsi="Geneva"/>
                <w:color w:val="000000"/>
                <w:sz w:val="22"/>
                <w:lang w:bidi="x-none"/>
              </w:rPr>
            </w:pPr>
          </w:p>
        </w:tc>
        <w:tc>
          <w:tcPr>
            <w:tcW w:w="2080" w:type="dxa"/>
            <w:tcBorders>
              <w:top w:val="single" w:sz="6" w:space="0" w:color="auto"/>
              <w:left w:val="nil"/>
              <w:right w:val="nil"/>
            </w:tcBorders>
            <w:shd w:val="clear" w:color="auto" w:fill="auto"/>
            <w:noWrap/>
            <w:vAlign w:val="bottom"/>
          </w:tcPr>
          <w:p w14:paraId="1AC36653"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n</w:t>
            </w:r>
          </w:p>
        </w:tc>
        <w:tc>
          <w:tcPr>
            <w:tcW w:w="2080" w:type="dxa"/>
            <w:tcBorders>
              <w:top w:val="single" w:sz="6" w:space="0" w:color="auto"/>
              <w:left w:val="nil"/>
              <w:right w:val="nil"/>
            </w:tcBorders>
            <w:shd w:val="clear" w:color="auto" w:fill="auto"/>
            <w:noWrap/>
            <w:vAlign w:val="bottom"/>
          </w:tcPr>
          <w:p w14:paraId="55393A9E"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Mean</w:t>
            </w:r>
          </w:p>
        </w:tc>
        <w:tc>
          <w:tcPr>
            <w:tcW w:w="2080" w:type="dxa"/>
            <w:tcBorders>
              <w:top w:val="single" w:sz="6" w:space="0" w:color="auto"/>
              <w:left w:val="nil"/>
              <w:right w:val="nil"/>
            </w:tcBorders>
            <w:shd w:val="clear" w:color="auto" w:fill="auto"/>
            <w:noWrap/>
            <w:vAlign w:val="bottom"/>
          </w:tcPr>
          <w:p w14:paraId="0F8AAFA5"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Cert. Range</w:t>
            </w:r>
          </w:p>
        </w:tc>
      </w:tr>
      <w:tr w:rsidR="00485F92" w:rsidRPr="00FB00CA" w14:paraId="46D0BD20" w14:textId="77777777">
        <w:trPr>
          <w:trHeight w:val="260"/>
        </w:trPr>
        <w:tc>
          <w:tcPr>
            <w:tcW w:w="3450" w:type="dxa"/>
            <w:gridSpan w:val="2"/>
            <w:tcBorders>
              <w:left w:val="nil"/>
              <w:bottom w:val="nil"/>
              <w:right w:val="nil"/>
            </w:tcBorders>
            <w:shd w:val="clear" w:color="auto" w:fill="auto"/>
            <w:noWrap/>
            <w:vAlign w:val="bottom"/>
          </w:tcPr>
          <w:p w14:paraId="2E899414"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xml:space="preserve">Detection Limit (ng/g </w:t>
            </w:r>
            <w:proofErr w:type="spellStart"/>
            <w:r w:rsidRPr="00FB00CA">
              <w:rPr>
                <w:rFonts w:ascii="Arial" w:hAnsi="Arial"/>
                <w:color w:val="000000"/>
                <w:sz w:val="22"/>
                <w:lang w:bidi="x-none"/>
              </w:rPr>
              <w:t>dw</w:t>
            </w:r>
            <w:proofErr w:type="spellEnd"/>
            <w:r w:rsidRPr="00FB00CA">
              <w:rPr>
                <w:rFonts w:ascii="Arial" w:hAnsi="Arial"/>
                <w:color w:val="000000"/>
                <w:sz w:val="22"/>
                <w:lang w:bidi="x-none"/>
              </w:rPr>
              <w:t>)</w:t>
            </w:r>
          </w:p>
        </w:tc>
        <w:tc>
          <w:tcPr>
            <w:tcW w:w="2080" w:type="dxa"/>
            <w:tcBorders>
              <w:left w:val="nil"/>
              <w:bottom w:val="nil"/>
              <w:right w:val="nil"/>
            </w:tcBorders>
            <w:shd w:val="clear" w:color="auto" w:fill="auto"/>
            <w:noWrap/>
            <w:vAlign w:val="bottom"/>
          </w:tcPr>
          <w:p w14:paraId="6F028E6B"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6</w:t>
            </w:r>
          </w:p>
        </w:tc>
        <w:tc>
          <w:tcPr>
            <w:tcW w:w="2080" w:type="dxa"/>
            <w:tcBorders>
              <w:left w:val="nil"/>
              <w:bottom w:val="nil"/>
              <w:right w:val="nil"/>
            </w:tcBorders>
            <w:shd w:val="clear" w:color="auto" w:fill="auto"/>
            <w:noWrap/>
            <w:vAlign w:val="bottom"/>
          </w:tcPr>
          <w:p w14:paraId="501E7FD4"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3.0 </w:t>
            </w:r>
          </w:p>
        </w:tc>
        <w:tc>
          <w:tcPr>
            <w:tcW w:w="2080" w:type="dxa"/>
            <w:tcBorders>
              <w:left w:val="nil"/>
              <w:bottom w:val="nil"/>
              <w:right w:val="nil"/>
            </w:tcBorders>
            <w:shd w:val="clear" w:color="auto" w:fill="auto"/>
            <w:noWrap/>
            <w:vAlign w:val="bottom"/>
          </w:tcPr>
          <w:p w14:paraId="3D1AC3A7" w14:textId="77777777" w:rsidR="00485F92" w:rsidRPr="00FB00CA" w:rsidRDefault="00485F92" w:rsidP="00485F92">
            <w:pPr>
              <w:jc w:val="center"/>
              <w:rPr>
                <w:rFonts w:ascii="Geneva" w:hAnsi="Geneva"/>
                <w:color w:val="000000"/>
                <w:sz w:val="22"/>
                <w:lang w:bidi="x-none"/>
              </w:rPr>
            </w:pPr>
          </w:p>
        </w:tc>
      </w:tr>
      <w:tr w:rsidR="00485F92" w:rsidRPr="00FB00CA" w14:paraId="25AAEA57" w14:textId="77777777">
        <w:trPr>
          <w:trHeight w:val="260"/>
        </w:trPr>
        <w:tc>
          <w:tcPr>
            <w:tcW w:w="3450" w:type="dxa"/>
            <w:gridSpan w:val="2"/>
            <w:tcBorders>
              <w:top w:val="nil"/>
              <w:left w:val="nil"/>
              <w:bottom w:val="nil"/>
              <w:right w:val="nil"/>
            </w:tcBorders>
            <w:shd w:val="clear" w:color="auto" w:fill="auto"/>
            <w:noWrap/>
            <w:vAlign w:val="bottom"/>
          </w:tcPr>
          <w:p w14:paraId="50F45E33"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Recovery on spiked samples</w:t>
            </w:r>
          </w:p>
        </w:tc>
        <w:tc>
          <w:tcPr>
            <w:tcW w:w="2080" w:type="dxa"/>
            <w:tcBorders>
              <w:top w:val="nil"/>
              <w:left w:val="nil"/>
              <w:bottom w:val="nil"/>
              <w:right w:val="nil"/>
            </w:tcBorders>
            <w:shd w:val="clear" w:color="auto" w:fill="auto"/>
            <w:noWrap/>
            <w:vAlign w:val="bottom"/>
          </w:tcPr>
          <w:p w14:paraId="49CEA1BE"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18</w:t>
            </w:r>
          </w:p>
        </w:tc>
        <w:tc>
          <w:tcPr>
            <w:tcW w:w="2080" w:type="dxa"/>
            <w:tcBorders>
              <w:top w:val="nil"/>
              <w:left w:val="nil"/>
              <w:bottom w:val="nil"/>
              <w:right w:val="nil"/>
            </w:tcBorders>
            <w:shd w:val="clear" w:color="auto" w:fill="auto"/>
            <w:noWrap/>
            <w:vAlign w:val="bottom"/>
          </w:tcPr>
          <w:p w14:paraId="171FE059"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94.5</w:t>
            </w:r>
          </w:p>
        </w:tc>
        <w:tc>
          <w:tcPr>
            <w:tcW w:w="2080" w:type="dxa"/>
            <w:tcBorders>
              <w:top w:val="nil"/>
              <w:left w:val="nil"/>
              <w:bottom w:val="nil"/>
              <w:right w:val="nil"/>
            </w:tcBorders>
            <w:shd w:val="clear" w:color="auto" w:fill="auto"/>
            <w:noWrap/>
            <w:vAlign w:val="bottom"/>
          </w:tcPr>
          <w:p w14:paraId="3CEE8681" w14:textId="77777777" w:rsidR="00485F92" w:rsidRPr="00FB00CA" w:rsidRDefault="00485F92" w:rsidP="00485F92">
            <w:pPr>
              <w:jc w:val="center"/>
              <w:rPr>
                <w:rFonts w:ascii="Geneva" w:hAnsi="Geneva"/>
                <w:color w:val="000000"/>
                <w:sz w:val="22"/>
                <w:lang w:bidi="x-none"/>
              </w:rPr>
            </w:pPr>
          </w:p>
        </w:tc>
      </w:tr>
      <w:tr w:rsidR="00485F92" w:rsidRPr="00FB00CA" w14:paraId="471971EF" w14:textId="77777777">
        <w:trPr>
          <w:trHeight w:val="260"/>
        </w:trPr>
        <w:tc>
          <w:tcPr>
            <w:tcW w:w="2150" w:type="dxa"/>
            <w:tcBorders>
              <w:top w:val="nil"/>
              <w:left w:val="nil"/>
              <w:bottom w:val="nil"/>
              <w:right w:val="nil"/>
            </w:tcBorders>
            <w:shd w:val="clear" w:color="auto" w:fill="auto"/>
            <w:noWrap/>
            <w:vAlign w:val="bottom"/>
          </w:tcPr>
          <w:p w14:paraId="28ECDF87"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CV on Triplicates</w:t>
            </w:r>
          </w:p>
        </w:tc>
        <w:tc>
          <w:tcPr>
            <w:tcW w:w="1300" w:type="dxa"/>
            <w:tcBorders>
              <w:top w:val="nil"/>
              <w:left w:val="nil"/>
              <w:bottom w:val="nil"/>
              <w:right w:val="nil"/>
            </w:tcBorders>
            <w:shd w:val="clear" w:color="auto" w:fill="auto"/>
            <w:noWrap/>
            <w:vAlign w:val="bottom"/>
          </w:tcPr>
          <w:p w14:paraId="2248024E" w14:textId="77777777" w:rsidR="00485F92" w:rsidRPr="00FB00CA" w:rsidRDefault="00485F92" w:rsidP="00485F92">
            <w:pPr>
              <w:rPr>
                <w:rFonts w:ascii="Geneva" w:hAnsi="Geneva"/>
                <w:color w:val="000000"/>
                <w:sz w:val="22"/>
                <w:lang w:bidi="x-none"/>
              </w:rPr>
            </w:pPr>
          </w:p>
        </w:tc>
        <w:tc>
          <w:tcPr>
            <w:tcW w:w="2080" w:type="dxa"/>
            <w:tcBorders>
              <w:top w:val="nil"/>
              <w:left w:val="nil"/>
              <w:bottom w:val="nil"/>
              <w:right w:val="nil"/>
            </w:tcBorders>
            <w:shd w:val="clear" w:color="auto" w:fill="auto"/>
            <w:noWrap/>
            <w:vAlign w:val="bottom"/>
          </w:tcPr>
          <w:p w14:paraId="3F8D3005"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6</w:t>
            </w:r>
          </w:p>
        </w:tc>
        <w:tc>
          <w:tcPr>
            <w:tcW w:w="2080" w:type="dxa"/>
            <w:tcBorders>
              <w:top w:val="nil"/>
              <w:left w:val="nil"/>
              <w:bottom w:val="nil"/>
              <w:right w:val="nil"/>
            </w:tcBorders>
            <w:shd w:val="clear" w:color="auto" w:fill="auto"/>
            <w:noWrap/>
            <w:vAlign w:val="bottom"/>
          </w:tcPr>
          <w:p w14:paraId="267806CF"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4.6</w:t>
            </w:r>
          </w:p>
        </w:tc>
        <w:tc>
          <w:tcPr>
            <w:tcW w:w="2080" w:type="dxa"/>
            <w:tcBorders>
              <w:top w:val="nil"/>
              <w:left w:val="nil"/>
              <w:bottom w:val="nil"/>
              <w:right w:val="nil"/>
            </w:tcBorders>
            <w:shd w:val="clear" w:color="auto" w:fill="auto"/>
            <w:noWrap/>
            <w:vAlign w:val="bottom"/>
          </w:tcPr>
          <w:p w14:paraId="65AA089E" w14:textId="77777777" w:rsidR="00485F92" w:rsidRPr="00FB00CA" w:rsidRDefault="00485F92" w:rsidP="00485F92">
            <w:pPr>
              <w:rPr>
                <w:rFonts w:ascii="Geneva" w:hAnsi="Geneva"/>
                <w:color w:val="000000"/>
                <w:sz w:val="22"/>
                <w:lang w:bidi="x-none"/>
              </w:rPr>
            </w:pPr>
          </w:p>
        </w:tc>
      </w:tr>
      <w:tr w:rsidR="00485F92" w:rsidRPr="00FB00CA" w14:paraId="2470251C" w14:textId="77777777">
        <w:trPr>
          <w:trHeight w:val="260"/>
        </w:trPr>
        <w:tc>
          <w:tcPr>
            <w:tcW w:w="3450" w:type="dxa"/>
            <w:gridSpan w:val="2"/>
            <w:tcBorders>
              <w:top w:val="nil"/>
              <w:left w:val="nil"/>
              <w:bottom w:val="nil"/>
              <w:right w:val="nil"/>
            </w:tcBorders>
            <w:shd w:val="clear" w:color="auto" w:fill="auto"/>
            <w:noWrap/>
            <w:vAlign w:val="bottom"/>
          </w:tcPr>
          <w:p w14:paraId="3634C42D"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Standard Reference Materials</w:t>
            </w:r>
          </w:p>
        </w:tc>
        <w:tc>
          <w:tcPr>
            <w:tcW w:w="2080" w:type="dxa"/>
            <w:tcBorders>
              <w:top w:val="nil"/>
              <w:left w:val="nil"/>
              <w:bottom w:val="nil"/>
              <w:right w:val="nil"/>
            </w:tcBorders>
            <w:shd w:val="clear" w:color="auto" w:fill="auto"/>
            <w:noWrap/>
            <w:vAlign w:val="bottom"/>
          </w:tcPr>
          <w:p w14:paraId="2156D0D6"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nil"/>
              <w:right w:val="nil"/>
            </w:tcBorders>
            <w:shd w:val="clear" w:color="auto" w:fill="auto"/>
            <w:noWrap/>
            <w:vAlign w:val="bottom"/>
          </w:tcPr>
          <w:p w14:paraId="1A965718"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nil"/>
              <w:right w:val="nil"/>
            </w:tcBorders>
            <w:shd w:val="clear" w:color="auto" w:fill="auto"/>
            <w:noWrap/>
            <w:vAlign w:val="bottom"/>
          </w:tcPr>
          <w:p w14:paraId="1497F3C9" w14:textId="77777777" w:rsidR="00485F92" w:rsidRPr="00FB00CA" w:rsidRDefault="00485F92" w:rsidP="00485F92">
            <w:pPr>
              <w:jc w:val="center"/>
              <w:rPr>
                <w:rFonts w:ascii="Geneva" w:hAnsi="Geneva"/>
                <w:color w:val="000000"/>
                <w:sz w:val="22"/>
                <w:lang w:bidi="x-none"/>
              </w:rPr>
            </w:pPr>
          </w:p>
        </w:tc>
      </w:tr>
      <w:tr w:rsidR="00485F92" w:rsidRPr="00FB00CA" w14:paraId="364E777B" w14:textId="77777777">
        <w:trPr>
          <w:trHeight w:val="260"/>
        </w:trPr>
        <w:tc>
          <w:tcPr>
            <w:tcW w:w="2150" w:type="dxa"/>
            <w:tcBorders>
              <w:top w:val="nil"/>
              <w:left w:val="nil"/>
              <w:bottom w:val="nil"/>
              <w:right w:val="nil"/>
            </w:tcBorders>
            <w:shd w:val="clear" w:color="auto" w:fill="auto"/>
            <w:noWrap/>
            <w:vAlign w:val="bottom"/>
          </w:tcPr>
          <w:p w14:paraId="7D4C7AC2" w14:textId="77777777" w:rsidR="00485F92" w:rsidRPr="00FB00CA" w:rsidRDefault="00485F92" w:rsidP="00485F92">
            <w:pPr>
              <w:jc w:val="right"/>
              <w:rPr>
                <w:rFonts w:ascii="Geneva" w:hAnsi="Geneva"/>
                <w:color w:val="000000"/>
                <w:sz w:val="22"/>
                <w:lang w:bidi="x-none"/>
              </w:rPr>
            </w:pPr>
            <w:r w:rsidRPr="00FB00CA">
              <w:rPr>
                <w:rFonts w:ascii="Arial" w:hAnsi="Arial"/>
                <w:color w:val="000000"/>
                <w:sz w:val="22"/>
                <w:lang w:bidi="x-none"/>
              </w:rPr>
              <w:t xml:space="preserve">ng/g </w:t>
            </w:r>
            <w:proofErr w:type="spellStart"/>
            <w:r w:rsidRPr="00FB00CA">
              <w:rPr>
                <w:rFonts w:ascii="Arial" w:hAnsi="Arial"/>
                <w:color w:val="000000"/>
                <w:sz w:val="22"/>
                <w:lang w:bidi="x-none"/>
              </w:rPr>
              <w:t>dw</w:t>
            </w:r>
            <w:proofErr w:type="spellEnd"/>
          </w:p>
        </w:tc>
        <w:tc>
          <w:tcPr>
            <w:tcW w:w="1300" w:type="dxa"/>
            <w:tcBorders>
              <w:top w:val="nil"/>
              <w:left w:val="nil"/>
              <w:bottom w:val="nil"/>
              <w:right w:val="nil"/>
            </w:tcBorders>
            <w:shd w:val="clear" w:color="auto" w:fill="auto"/>
            <w:noWrap/>
            <w:vAlign w:val="bottom"/>
          </w:tcPr>
          <w:p w14:paraId="7A0E71A3"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MESS-3</w:t>
            </w:r>
          </w:p>
        </w:tc>
        <w:tc>
          <w:tcPr>
            <w:tcW w:w="2080" w:type="dxa"/>
            <w:tcBorders>
              <w:top w:val="nil"/>
              <w:left w:val="nil"/>
              <w:bottom w:val="nil"/>
              <w:right w:val="nil"/>
            </w:tcBorders>
            <w:shd w:val="clear" w:color="auto" w:fill="auto"/>
            <w:noWrap/>
            <w:vAlign w:val="bottom"/>
          </w:tcPr>
          <w:p w14:paraId="172A8283"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9</w:t>
            </w:r>
          </w:p>
        </w:tc>
        <w:tc>
          <w:tcPr>
            <w:tcW w:w="2080" w:type="dxa"/>
            <w:tcBorders>
              <w:top w:val="nil"/>
              <w:left w:val="nil"/>
              <w:bottom w:val="nil"/>
              <w:right w:val="nil"/>
            </w:tcBorders>
            <w:shd w:val="clear" w:color="auto" w:fill="auto"/>
            <w:noWrap/>
            <w:vAlign w:val="bottom"/>
          </w:tcPr>
          <w:p w14:paraId="54DD9EA6"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90.0</w:t>
            </w:r>
          </w:p>
        </w:tc>
        <w:tc>
          <w:tcPr>
            <w:tcW w:w="2080" w:type="dxa"/>
            <w:tcBorders>
              <w:top w:val="nil"/>
              <w:left w:val="nil"/>
              <w:bottom w:val="nil"/>
              <w:right w:val="nil"/>
            </w:tcBorders>
            <w:shd w:val="clear" w:color="auto" w:fill="auto"/>
            <w:noWrap/>
            <w:vAlign w:val="bottom"/>
          </w:tcPr>
          <w:p w14:paraId="551C35F2"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91 ± 9</w:t>
            </w:r>
          </w:p>
        </w:tc>
      </w:tr>
      <w:tr w:rsidR="00485F92" w:rsidRPr="00FB00CA" w14:paraId="470E8628" w14:textId="77777777">
        <w:trPr>
          <w:trHeight w:val="260"/>
        </w:trPr>
        <w:tc>
          <w:tcPr>
            <w:tcW w:w="2150" w:type="dxa"/>
            <w:tcBorders>
              <w:top w:val="nil"/>
              <w:left w:val="nil"/>
              <w:bottom w:val="dotted" w:sz="6" w:space="0" w:color="auto"/>
              <w:right w:val="nil"/>
            </w:tcBorders>
            <w:shd w:val="clear" w:color="auto" w:fill="auto"/>
            <w:noWrap/>
            <w:vAlign w:val="bottom"/>
          </w:tcPr>
          <w:p w14:paraId="7B4A791B" w14:textId="77777777" w:rsidR="00485F92" w:rsidRPr="00FB00CA" w:rsidRDefault="00485F92" w:rsidP="00485F92">
            <w:pPr>
              <w:rPr>
                <w:rFonts w:ascii="Geneva" w:hAnsi="Geneva"/>
                <w:color w:val="000000"/>
                <w:sz w:val="22"/>
                <w:lang w:bidi="x-none"/>
              </w:rPr>
            </w:pPr>
          </w:p>
        </w:tc>
        <w:tc>
          <w:tcPr>
            <w:tcW w:w="1300" w:type="dxa"/>
            <w:tcBorders>
              <w:top w:val="nil"/>
              <w:left w:val="nil"/>
              <w:bottom w:val="dotted" w:sz="6" w:space="0" w:color="auto"/>
              <w:right w:val="nil"/>
            </w:tcBorders>
            <w:shd w:val="clear" w:color="auto" w:fill="auto"/>
            <w:noWrap/>
            <w:vAlign w:val="bottom"/>
          </w:tcPr>
          <w:p w14:paraId="7314EF53" w14:textId="77777777" w:rsidR="00485F92" w:rsidRPr="00FB00CA" w:rsidRDefault="00485F92" w:rsidP="00485F92">
            <w:pPr>
              <w:rPr>
                <w:rFonts w:ascii="Geneva" w:hAnsi="Geneva"/>
                <w:color w:val="000000"/>
                <w:sz w:val="22"/>
                <w:lang w:bidi="x-none"/>
              </w:rPr>
            </w:pPr>
          </w:p>
        </w:tc>
        <w:tc>
          <w:tcPr>
            <w:tcW w:w="2080" w:type="dxa"/>
            <w:tcBorders>
              <w:top w:val="nil"/>
              <w:left w:val="nil"/>
              <w:bottom w:val="dotted" w:sz="6" w:space="0" w:color="auto"/>
              <w:right w:val="nil"/>
            </w:tcBorders>
            <w:shd w:val="clear" w:color="auto" w:fill="auto"/>
            <w:noWrap/>
            <w:vAlign w:val="bottom"/>
          </w:tcPr>
          <w:p w14:paraId="052E405D"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dotted" w:sz="6" w:space="0" w:color="auto"/>
              <w:right w:val="nil"/>
            </w:tcBorders>
            <w:shd w:val="clear" w:color="auto" w:fill="auto"/>
            <w:noWrap/>
            <w:vAlign w:val="bottom"/>
          </w:tcPr>
          <w:p w14:paraId="5A67D0FA"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dotted" w:sz="6" w:space="0" w:color="auto"/>
              <w:right w:val="nil"/>
            </w:tcBorders>
            <w:shd w:val="clear" w:color="auto" w:fill="auto"/>
            <w:noWrap/>
            <w:vAlign w:val="bottom"/>
          </w:tcPr>
          <w:p w14:paraId="5BC8F291" w14:textId="77777777" w:rsidR="00485F92" w:rsidRPr="00FB00CA" w:rsidRDefault="00485F92" w:rsidP="00485F92">
            <w:pPr>
              <w:jc w:val="center"/>
              <w:rPr>
                <w:rFonts w:ascii="Geneva" w:hAnsi="Geneva"/>
                <w:color w:val="000000"/>
                <w:sz w:val="22"/>
                <w:lang w:bidi="x-none"/>
              </w:rPr>
            </w:pPr>
          </w:p>
        </w:tc>
      </w:tr>
      <w:tr w:rsidR="00485F92" w:rsidRPr="00FB00CA" w14:paraId="2526ADAB" w14:textId="77777777">
        <w:trPr>
          <w:trHeight w:val="280"/>
        </w:trPr>
        <w:tc>
          <w:tcPr>
            <w:tcW w:w="3450" w:type="dxa"/>
            <w:gridSpan w:val="2"/>
            <w:tcBorders>
              <w:top w:val="dotted" w:sz="6" w:space="0" w:color="auto"/>
              <w:left w:val="nil"/>
              <w:right w:val="nil"/>
            </w:tcBorders>
            <w:shd w:val="clear" w:color="auto" w:fill="auto"/>
            <w:noWrap/>
            <w:vAlign w:val="bottom"/>
          </w:tcPr>
          <w:p w14:paraId="133D9270" w14:textId="77777777" w:rsidR="00485F92" w:rsidRPr="00FB00CA" w:rsidRDefault="00485F92" w:rsidP="00485F92">
            <w:pPr>
              <w:rPr>
                <w:rFonts w:ascii="Geneva" w:hAnsi="Geneva"/>
                <w:b/>
                <w:color w:val="000000"/>
                <w:sz w:val="22"/>
                <w:lang w:bidi="x-none"/>
              </w:rPr>
            </w:pPr>
            <w:r w:rsidRPr="00FB00CA">
              <w:rPr>
                <w:rFonts w:ascii="Arial" w:hAnsi="Arial"/>
                <w:b/>
                <w:color w:val="000000"/>
                <w:sz w:val="22"/>
                <w:lang w:bidi="x-none"/>
              </w:rPr>
              <w:t>Sediment MeHg QA</w:t>
            </w:r>
          </w:p>
        </w:tc>
        <w:tc>
          <w:tcPr>
            <w:tcW w:w="2080" w:type="dxa"/>
            <w:tcBorders>
              <w:top w:val="dotted" w:sz="6" w:space="0" w:color="auto"/>
              <w:left w:val="nil"/>
              <w:right w:val="nil"/>
            </w:tcBorders>
            <w:shd w:val="clear" w:color="auto" w:fill="auto"/>
            <w:noWrap/>
            <w:vAlign w:val="bottom"/>
          </w:tcPr>
          <w:p w14:paraId="3C27875D"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n</w:t>
            </w:r>
          </w:p>
        </w:tc>
        <w:tc>
          <w:tcPr>
            <w:tcW w:w="2080" w:type="dxa"/>
            <w:tcBorders>
              <w:top w:val="dotted" w:sz="6" w:space="0" w:color="auto"/>
              <w:left w:val="nil"/>
              <w:right w:val="nil"/>
            </w:tcBorders>
            <w:shd w:val="clear" w:color="auto" w:fill="auto"/>
            <w:noWrap/>
            <w:vAlign w:val="bottom"/>
          </w:tcPr>
          <w:p w14:paraId="5380C8DC"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Mean</w:t>
            </w:r>
          </w:p>
        </w:tc>
        <w:tc>
          <w:tcPr>
            <w:tcW w:w="2080" w:type="dxa"/>
            <w:tcBorders>
              <w:top w:val="dotted" w:sz="6" w:space="0" w:color="auto"/>
              <w:left w:val="nil"/>
              <w:right w:val="nil"/>
            </w:tcBorders>
            <w:shd w:val="clear" w:color="auto" w:fill="auto"/>
            <w:noWrap/>
            <w:vAlign w:val="bottom"/>
          </w:tcPr>
          <w:p w14:paraId="0EA6841B" w14:textId="77777777" w:rsidR="00485F92" w:rsidRPr="00FB00CA" w:rsidRDefault="00485F92" w:rsidP="00485F92">
            <w:pPr>
              <w:jc w:val="center"/>
              <w:rPr>
                <w:rFonts w:ascii="Geneva" w:hAnsi="Geneva"/>
                <w:color w:val="000000"/>
                <w:sz w:val="22"/>
                <w:lang w:bidi="x-none"/>
              </w:rPr>
            </w:pPr>
          </w:p>
        </w:tc>
      </w:tr>
      <w:tr w:rsidR="00485F92" w:rsidRPr="00FB00CA" w14:paraId="5C84D179" w14:textId="77777777">
        <w:trPr>
          <w:trHeight w:val="260"/>
        </w:trPr>
        <w:tc>
          <w:tcPr>
            <w:tcW w:w="3450" w:type="dxa"/>
            <w:gridSpan w:val="2"/>
            <w:tcBorders>
              <w:left w:val="nil"/>
              <w:bottom w:val="nil"/>
              <w:right w:val="nil"/>
            </w:tcBorders>
            <w:shd w:val="clear" w:color="auto" w:fill="auto"/>
            <w:noWrap/>
            <w:vAlign w:val="bottom"/>
          </w:tcPr>
          <w:p w14:paraId="57E132E4"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xml:space="preserve">Detection Limit (ng/g </w:t>
            </w:r>
            <w:proofErr w:type="spellStart"/>
            <w:r w:rsidRPr="00FB00CA">
              <w:rPr>
                <w:rFonts w:ascii="Arial" w:hAnsi="Arial"/>
                <w:color w:val="000000"/>
                <w:sz w:val="22"/>
                <w:lang w:bidi="x-none"/>
              </w:rPr>
              <w:t>dw</w:t>
            </w:r>
            <w:proofErr w:type="spellEnd"/>
            <w:r w:rsidRPr="00FB00CA">
              <w:rPr>
                <w:rFonts w:ascii="Arial" w:hAnsi="Arial"/>
                <w:color w:val="000000"/>
                <w:sz w:val="22"/>
                <w:lang w:bidi="x-none"/>
              </w:rPr>
              <w:t>)</w:t>
            </w:r>
          </w:p>
        </w:tc>
        <w:tc>
          <w:tcPr>
            <w:tcW w:w="2080" w:type="dxa"/>
            <w:tcBorders>
              <w:left w:val="nil"/>
              <w:bottom w:val="nil"/>
              <w:right w:val="nil"/>
            </w:tcBorders>
            <w:shd w:val="clear" w:color="auto" w:fill="auto"/>
            <w:noWrap/>
            <w:vAlign w:val="bottom"/>
          </w:tcPr>
          <w:p w14:paraId="756A3063"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3</w:t>
            </w:r>
          </w:p>
        </w:tc>
        <w:tc>
          <w:tcPr>
            <w:tcW w:w="2080" w:type="dxa"/>
            <w:tcBorders>
              <w:left w:val="nil"/>
              <w:bottom w:val="nil"/>
              <w:right w:val="nil"/>
            </w:tcBorders>
            <w:shd w:val="clear" w:color="auto" w:fill="auto"/>
            <w:noWrap/>
            <w:vAlign w:val="bottom"/>
          </w:tcPr>
          <w:p w14:paraId="05CF44D3"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0.007</w:t>
            </w:r>
          </w:p>
        </w:tc>
        <w:tc>
          <w:tcPr>
            <w:tcW w:w="2080" w:type="dxa"/>
            <w:tcBorders>
              <w:left w:val="nil"/>
              <w:bottom w:val="nil"/>
              <w:right w:val="nil"/>
            </w:tcBorders>
            <w:shd w:val="clear" w:color="auto" w:fill="auto"/>
            <w:noWrap/>
            <w:vAlign w:val="bottom"/>
          </w:tcPr>
          <w:p w14:paraId="7B8FF3B1" w14:textId="77777777" w:rsidR="00485F92" w:rsidRPr="00FB00CA" w:rsidRDefault="00485F92" w:rsidP="00485F92">
            <w:pPr>
              <w:jc w:val="center"/>
              <w:rPr>
                <w:rFonts w:ascii="Geneva" w:hAnsi="Geneva"/>
                <w:color w:val="000000"/>
                <w:sz w:val="22"/>
                <w:lang w:bidi="x-none"/>
              </w:rPr>
            </w:pPr>
          </w:p>
        </w:tc>
      </w:tr>
      <w:tr w:rsidR="00485F92" w:rsidRPr="00FB00CA" w14:paraId="539F9F41" w14:textId="77777777">
        <w:trPr>
          <w:trHeight w:val="260"/>
        </w:trPr>
        <w:tc>
          <w:tcPr>
            <w:tcW w:w="3450" w:type="dxa"/>
            <w:gridSpan w:val="2"/>
            <w:tcBorders>
              <w:top w:val="nil"/>
              <w:left w:val="nil"/>
              <w:bottom w:val="nil"/>
              <w:right w:val="nil"/>
            </w:tcBorders>
            <w:shd w:val="clear" w:color="auto" w:fill="auto"/>
            <w:noWrap/>
            <w:vAlign w:val="bottom"/>
          </w:tcPr>
          <w:p w14:paraId="6E64F8AE"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Recovery on spiked samples</w:t>
            </w:r>
          </w:p>
        </w:tc>
        <w:tc>
          <w:tcPr>
            <w:tcW w:w="2080" w:type="dxa"/>
            <w:tcBorders>
              <w:top w:val="nil"/>
              <w:left w:val="nil"/>
              <w:bottom w:val="nil"/>
              <w:right w:val="nil"/>
            </w:tcBorders>
            <w:shd w:val="clear" w:color="auto" w:fill="auto"/>
            <w:noWrap/>
            <w:vAlign w:val="bottom"/>
          </w:tcPr>
          <w:p w14:paraId="32A5105E"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4</w:t>
            </w:r>
          </w:p>
        </w:tc>
        <w:tc>
          <w:tcPr>
            <w:tcW w:w="2080" w:type="dxa"/>
            <w:tcBorders>
              <w:top w:val="nil"/>
              <w:left w:val="nil"/>
              <w:bottom w:val="nil"/>
              <w:right w:val="nil"/>
            </w:tcBorders>
            <w:shd w:val="clear" w:color="auto" w:fill="auto"/>
            <w:noWrap/>
            <w:vAlign w:val="bottom"/>
          </w:tcPr>
          <w:p w14:paraId="0171A205"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109</w:t>
            </w:r>
          </w:p>
        </w:tc>
        <w:tc>
          <w:tcPr>
            <w:tcW w:w="2080" w:type="dxa"/>
            <w:tcBorders>
              <w:top w:val="nil"/>
              <w:left w:val="nil"/>
              <w:bottom w:val="nil"/>
              <w:right w:val="nil"/>
            </w:tcBorders>
            <w:shd w:val="clear" w:color="auto" w:fill="auto"/>
            <w:noWrap/>
            <w:vAlign w:val="bottom"/>
          </w:tcPr>
          <w:p w14:paraId="7F61524F" w14:textId="77777777" w:rsidR="00485F92" w:rsidRPr="00FB00CA" w:rsidRDefault="00485F92" w:rsidP="00485F92">
            <w:pPr>
              <w:jc w:val="center"/>
              <w:rPr>
                <w:rFonts w:ascii="Geneva" w:hAnsi="Geneva"/>
                <w:color w:val="000000"/>
                <w:sz w:val="22"/>
                <w:lang w:bidi="x-none"/>
              </w:rPr>
            </w:pPr>
          </w:p>
        </w:tc>
      </w:tr>
      <w:tr w:rsidR="00485F92" w:rsidRPr="00FB00CA" w14:paraId="50EB14FC" w14:textId="77777777">
        <w:trPr>
          <w:trHeight w:val="260"/>
        </w:trPr>
        <w:tc>
          <w:tcPr>
            <w:tcW w:w="3450" w:type="dxa"/>
            <w:gridSpan w:val="2"/>
            <w:tcBorders>
              <w:top w:val="nil"/>
              <w:left w:val="nil"/>
              <w:bottom w:val="nil"/>
              <w:right w:val="nil"/>
            </w:tcBorders>
            <w:shd w:val="clear" w:color="auto" w:fill="auto"/>
            <w:noWrap/>
            <w:vAlign w:val="bottom"/>
          </w:tcPr>
          <w:p w14:paraId="2DAD5E0D"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Difference on Duplicates</w:t>
            </w:r>
          </w:p>
        </w:tc>
        <w:tc>
          <w:tcPr>
            <w:tcW w:w="2080" w:type="dxa"/>
            <w:tcBorders>
              <w:top w:val="nil"/>
              <w:left w:val="nil"/>
              <w:bottom w:val="nil"/>
              <w:right w:val="nil"/>
            </w:tcBorders>
            <w:shd w:val="clear" w:color="auto" w:fill="auto"/>
            <w:noWrap/>
            <w:vAlign w:val="bottom"/>
          </w:tcPr>
          <w:p w14:paraId="6EFDDF9A"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3</w:t>
            </w:r>
          </w:p>
        </w:tc>
        <w:tc>
          <w:tcPr>
            <w:tcW w:w="2080" w:type="dxa"/>
            <w:tcBorders>
              <w:top w:val="nil"/>
              <w:left w:val="nil"/>
              <w:bottom w:val="nil"/>
              <w:right w:val="nil"/>
            </w:tcBorders>
            <w:shd w:val="clear" w:color="auto" w:fill="auto"/>
            <w:noWrap/>
            <w:vAlign w:val="bottom"/>
          </w:tcPr>
          <w:p w14:paraId="1C7810B5"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4.3</w:t>
            </w:r>
          </w:p>
        </w:tc>
        <w:tc>
          <w:tcPr>
            <w:tcW w:w="2080" w:type="dxa"/>
            <w:tcBorders>
              <w:top w:val="nil"/>
              <w:left w:val="nil"/>
              <w:bottom w:val="nil"/>
              <w:right w:val="nil"/>
            </w:tcBorders>
            <w:shd w:val="clear" w:color="auto" w:fill="auto"/>
            <w:noWrap/>
            <w:vAlign w:val="bottom"/>
          </w:tcPr>
          <w:p w14:paraId="4525A9AC" w14:textId="77777777" w:rsidR="00485F92" w:rsidRPr="00FB00CA" w:rsidRDefault="00485F92" w:rsidP="00485F92">
            <w:pPr>
              <w:jc w:val="center"/>
              <w:rPr>
                <w:rFonts w:ascii="Geneva" w:hAnsi="Geneva"/>
                <w:color w:val="000000"/>
                <w:sz w:val="22"/>
                <w:lang w:bidi="x-none"/>
              </w:rPr>
            </w:pPr>
          </w:p>
        </w:tc>
      </w:tr>
      <w:tr w:rsidR="00485F92" w:rsidRPr="00FB00CA" w14:paraId="16841A4F" w14:textId="77777777">
        <w:trPr>
          <w:trHeight w:val="260"/>
        </w:trPr>
        <w:tc>
          <w:tcPr>
            <w:tcW w:w="2150" w:type="dxa"/>
            <w:tcBorders>
              <w:top w:val="nil"/>
              <w:left w:val="nil"/>
              <w:bottom w:val="nil"/>
              <w:right w:val="nil"/>
            </w:tcBorders>
            <w:shd w:val="clear" w:color="auto" w:fill="auto"/>
            <w:noWrap/>
            <w:vAlign w:val="bottom"/>
          </w:tcPr>
          <w:p w14:paraId="6590D7CB"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CV on Triplicates</w:t>
            </w:r>
          </w:p>
        </w:tc>
        <w:tc>
          <w:tcPr>
            <w:tcW w:w="1300" w:type="dxa"/>
            <w:tcBorders>
              <w:top w:val="nil"/>
              <w:left w:val="nil"/>
              <w:bottom w:val="nil"/>
              <w:right w:val="nil"/>
            </w:tcBorders>
            <w:shd w:val="clear" w:color="auto" w:fill="auto"/>
            <w:noWrap/>
            <w:vAlign w:val="bottom"/>
          </w:tcPr>
          <w:p w14:paraId="00B37532" w14:textId="77777777" w:rsidR="00485F92" w:rsidRPr="00FB00CA" w:rsidRDefault="00485F92" w:rsidP="00485F92">
            <w:pPr>
              <w:rPr>
                <w:rFonts w:ascii="Geneva" w:hAnsi="Geneva"/>
                <w:color w:val="000000"/>
                <w:sz w:val="22"/>
                <w:lang w:bidi="x-none"/>
              </w:rPr>
            </w:pPr>
          </w:p>
        </w:tc>
        <w:tc>
          <w:tcPr>
            <w:tcW w:w="2080" w:type="dxa"/>
            <w:tcBorders>
              <w:top w:val="nil"/>
              <w:left w:val="nil"/>
              <w:bottom w:val="nil"/>
              <w:right w:val="nil"/>
            </w:tcBorders>
            <w:shd w:val="clear" w:color="auto" w:fill="auto"/>
            <w:noWrap/>
            <w:vAlign w:val="bottom"/>
          </w:tcPr>
          <w:p w14:paraId="7FA3A899"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1</w:t>
            </w:r>
          </w:p>
        </w:tc>
        <w:tc>
          <w:tcPr>
            <w:tcW w:w="2080" w:type="dxa"/>
            <w:tcBorders>
              <w:top w:val="nil"/>
              <w:left w:val="nil"/>
              <w:bottom w:val="nil"/>
              <w:right w:val="nil"/>
            </w:tcBorders>
            <w:shd w:val="clear" w:color="auto" w:fill="auto"/>
            <w:noWrap/>
            <w:vAlign w:val="bottom"/>
          </w:tcPr>
          <w:p w14:paraId="4487E095"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25.2*</w:t>
            </w:r>
          </w:p>
        </w:tc>
        <w:tc>
          <w:tcPr>
            <w:tcW w:w="2080" w:type="dxa"/>
            <w:vMerge w:val="restart"/>
            <w:tcBorders>
              <w:top w:val="nil"/>
              <w:left w:val="nil"/>
              <w:bottom w:val="nil"/>
              <w:right w:val="nil"/>
            </w:tcBorders>
            <w:shd w:val="clear" w:color="auto" w:fill="auto"/>
            <w:vAlign w:val="bottom"/>
          </w:tcPr>
          <w:p w14:paraId="2BBF81D5" w14:textId="77777777" w:rsidR="00485F92" w:rsidRPr="00FB00CA" w:rsidRDefault="00485F92" w:rsidP="00485F92">
            <w:pPr>
              <w:jc w:val="center"/>
              <w:rPr>
                <w:rFonts w:ascii="Arial" w:hAnsi="Arial"/>
                <w:color w:val="000000"/>
                <w:sz w:val="22"/>
                <w:lang w:bidi="x-none"/>
              </w:rPr>
            </w:pPr>
            <w:r w:rsidRPr="00FB00CA">
              <w:rPr>
                <w:rFonts w:ascii="Arial" w:hAnsi="Arial"/>
                <w:color w:val="000000"/>
                <w:sz w:val="22"/>
                <w:lang w:bidi="x-none"/>
              </w:rPr>
              <w:t>*sample near detection limit</w:t>
            </w:r>
          </w:p>
          <w:p w14:paraId="6CE489B7" w14:textId="77777777" w:rsidR="00485F92" w:rsidRPr="00FB00CA" w:rsidRDefault="00485F92" w:rsidP="00485F92">
            <w:pPr>
              <w:jc w:val="center"/>
              <w:rPr>
                <w:rFonts w:ascii="Geneva" w:hAnsi="Geneva"/>
                <w:color w:val="000000"/>
                <w:sz w:val="22"/>
                <w:lang w:bidi="x-none"/>
              </w:rPr>
            </w:pPr>
          </w:p>
        </w:tc>
      </w:tr>
      <w:tr w:rsidR="00485F92" w:rsidRPr="00FB00CA" w14:paraId="5221250D" w14:textId="77777777">
        <w:trPr>
          <w:trHeight w:val="260"/>
        </w:trPr>
        <w:tc>
          <w:tcPr>
            <w:tcW w:w="2150" w:type="dxa"/>
            <w:tcBorders>
              <w:top w:val="nil"/>
              <w:left w:val="nil"/>
              <w:bottom w:val="dotted" w:sz="6" w:space="0" w:color="auto"/>
              <w:right w:val="nil"/>
            </w:tcBorders>
            <w:shd w:val="clear" w:color="auto" w:fill="auto"/>
            <w:noWrap/>
            <w:vAlign w:val="bottom"/>
          </w:tcPr>
          <w:p w14:paraId="64F200AB" w14:textId="77777777" w:rsidR="00485F92" w:rsidRPr="00FB00CA" w:rsidRDefault="00485F92" w:rsidP="00485F92">
            <w:pPr>
              <w:rPr>
                <w:rFonts w:ascii="Geneva" w:hAnsi="Geneva"/>
                <w:color w:val="000000"/>
                <w:sz w:val="22"/>
                <w:lang w:bidi="x-none"/>
              </w:rPr>
            </w:pPr>
          </w:p>
        </w:tc>
        <w:tc>
          <w:tcPr>
            <w:tcW w:w="1300" w:type="dxa"/>
            <w:tcBorders>
              <w:top w:val="nil"/>
              <w:left w:val="nil"/>
              <w:bottom w:val="dotted" w:sz="6" w:space="0" w:color="auto"/>
              <w:right w:val="nil"/>
            </w:tcBorders>
            <w:shd w:val="clear" w:color="auto" w:fill="auto"/>
            <w:noWrap/>
            <w:vAlign w:val="bottom"/>
          </w:tcPr>
          <w:p w14:paraId="33109443" w14:textId="77777777" w:rsidR="00485F92" w:rsidRPr="00FB00CA" w:rsidRDefault="00485F92" w:rsidP="00485F92">
            <w:pPr>
              <w:rPr>
                <w:rFonts w:ascii="Geneva" w:hAnsi="Geneva"/>
                <w:color w:val="000000"/>
                <w:sz w:val="22"/>
                <w:lang w:bidi="x-none"/>
              </w:rPr>
            </w:pPr>
          </w:p>
        </w:tc>
        <w:tc>
          <w:tcPr>
            <w:tcW w:w="2080" w:type="dxa"/>
            <w:tcBorders>
              <w:top w:val="nil"/>
              <w:left w:val="nil"/>
              <w:bottom w:val="dotted" w:sz="6" w:space="0" w:color="auto"/>
              <w:right w:val="nil"/>
            </w:tcBorders>
            <w:shd w:val="clear" w:color="auto" w:fill="auto"/>
            <w:noWrap/>
            <w:vAlign w:val="bottom"/>
          </w:tcPr>
          <w:p w14:paraId="1E1496A6"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dotted" w:sz="6" w:space="0" w:color="auto"/>
              <w:right w:val="nil"/>
            </w:tcBorders>
            <w:shd w:val="clear" w:color="auto" w:fill="auto"/>
            <w:noWrap/>
            <w:vAlign w:val="bottom"/>
          </w:tcPr>
          <w:p w14:paraId="16E41CA6" w14:textId="77777777" w:rsidR="00485F92" w:rsidRPr="00FB00CA" w:rsidRDefault="00485F92" w:rsidP="00485F92">
            <w:pPr>
              <w:jc w:val="center"/>
              <w:rPr>
                <w:rFonts w:ascii="Geneva" w:hAnsi="Geneva"/>
                <w:color w:val="000000"/>
                <w:sz w:val="22"/>
                <w:lang w:bidi="x-none"/>
              </w:rPr>
            </w:pPr>
          </w:p>
        </w:tc>
        <w:tc>
          <w:tcPr>
            <w:tcW w:w="2080" w:type="dxa"/>
            <w:vMerge/>
            <w:tcBorders>
              <w:top w:val="nil"/>
              <w:left w:val="nil"/>
              <w:bottom w:val="dotted" w:sz="6" w:space="0" w:color="auto"/>
              <w:right w:val="nil"/>
            </w:tcBorders>
            <w:shd w:val="clear" w:color="auto" w:fill="auto"/>
            <w:vAlign w:val="center"/>
          </w:tcPr>
          <w:p w14:paraId="482BC493" w14:textId="77777777" w:rsidR="00485F92" w:rsidRPr="00FB00CA" w:rsidRDefault="00485F92" w:rsidP="00485F92">
            <w:pPr>
              <w:rPr>
                <w:rFonts w:ascii="Geneva" w:hAnsi="Geneva"/>
                <w:color w:val="000000"/>
                <w:sz w:val="22"/>
                <w:lang w:bidi="x-none"/>
              </w:rPr>
            </w:pPr>
          </w:p>
        </w:tc>
      </w:tr>
      <w:tr w:rsidR="00485F92" w:rsidRPr="00FB00CA" w14:paraId="75A69BA1" w14:textId="77777777">
        <w:trPr>
          <w:trHeight w:val="280"/>
        </w:trPr>
        <w:tc>
          <w:tcPr>
            <w:tcW w:w="2150" w:type="dxa"/>
            <w:tcBorders>
              <w:top w:val="dotted" w:sz="6" w:space="0" w:color="auto"/>
              <w:left w:val="nil"/>
              <w:right w:val="nil"/>
            </w:tcBorders>
            <w:shd w:val="clear" w:color="auto" w:fill="auto"/>
            <w:noWrap/>
            <w:vAlign w:val="bottom"/>
          </w:tcPr>
          <w:p w14:paraId="5C9741E8" w14:textId="77777777" w:rsidR="00485F92" w:rsidRPr="00FB00CA" w:rsidRDefault="00485F92" w:rsidP="00485F92">
            <w:pPr>
              <w:rPr>
                <w:rFonts w:ascii="Geneva" w:hAnsi="Geneva"/>
                <w:b/>
                <w:color w:val="000000"/>
                <w:sz w:val="22"/>
                <w:lang w:bidi="x-none"/>
              </w:rPr>
            </w:pPr>
            <w:r w:rsidRPr="00FB00CA">
              <w:rPr>
                <w:rFonts w:ascii="Arial" w:hAnsi="Arial"/>
                <w:b/>
                <w:color w:val="000000"/>
                <w:sz w:val="22"/>
                <w:lang w:bidi="x-none"/>
              </w:rPr>
              <w:t>Fish Hg</w:t>
            </w:r>
            <w:r w:rsidRPr="00FB00CA">
              <w:rPr>
                <w:rFonts w:ascii="Arial" w:hAnsi="Arial"/>
                <w:b/>
                <w:color w:val="000000"/>
                <w:sz w:val="22"/>
                <w:vertAlign w:val="subscript"/>
                <w:lang w:bidi="x-none"/>
              </w:rPr>
              <w:t>T</w:t>
            </w:r>
            <w:r w:rsidRPr="00FB00CA">
              <w:rPr>
                <w:rFonts w:ascii="Arial" w:hAnsi="Arial"/>
                <w:b/>
                <w:color w:val="000000"/>
                <w:sz w:val="22"/>
                <w:lang w:bidi="x-none"/>
              </w:rPr>
              <w:t xml:space="preserve"> QA</w:t>
            </w:r>
          </w:p>
        </w:tc>
        <w:tc>
          <w:tcPr>
            <w:tcW w:w="1300" w:type="dxa"/>
            <w:tcBorders>
              <w:top w:val="dotted" w:sz="6" w:space="0" w:color="auto"/>
              <w:left w:val="nil"/>
              <w:right w:val="nil"/>
            </w:tcBorders>
            <w:shd w:val="clear" w:color="auto" w:fill="auto"/>
            <w:noWrap/>
            <w:vAlign w:val="bottom"/>
          </w:tcPr>
          <w:p w14:paraId="31C8477C" w14:textId="77777777" w:rsidR="00485F92" w:rsidRPr="00FB00CA" w:rsidRDefault="00485F92" w:rsidP="00485F92">
            <w:pPr>
              <w:rPr>
                <w:rFonts w:ascii="Geneva" w:hAnsi="Geneva"/>
                <w:color w:val="000000"/>
                <w:sz w:val="22"/>
                <w:lang w:bidi="x-none"/>
              </w:rPr>
            </w:pPr>
          </w:p>
        </w:tc>
        <w:tc>
          <w:tcPr>
            <w:tcW w:w="2080" w:type="dxa"/>
            <w:tcBorders>
              <w:top w:val="dotted" w:sz="6" w:space="0" w:color="auto"/>
              <w:left w:val="nil"/>
              <w:right w:val="nil"/>
            </w:tcBorders>
            <w:shd w:val="clear" w:color="auto" w:fill="auto"/>
            <w:noWrap/>
            <w:vAlign w:val="bottom"/>
          </w:tcPr>
          <w:p w14:paraId="6B6B3098"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n</w:t>
            </w:r>
          </w:p>
        </w:tc>
        <w:tc>
          <w:tcPr>
            <w:tcW w:w="2080" w:type="dxa"/>
            <w:tcBorders>
              <w:top w:val="dotted" w:sz="6" w:space="0" w:color="auto"/>
              <w:left w:val="nil"/>
              <w:right w:val="nil"/>
            </w:tcBorders>
            <w:shd w:val="clear" w:color="auto" w:fill="auto"/>
            <w:noWrap/>
            <w:vAlign w:val="bottom"/>
          </w:tcPr>
          <w:p w14:paraId="0A341B2D"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Mean</w:t>
            </w:r>
          </w:p>
        </w:tc>
        <w:tc>
          <w:tcPr>
            <w:tcW w:w="2080" w:type="dxa"/>
            <w:tcBorders>
              <w:top w:val="dotted" w:sz="6" w:space="0" w:color="auto"/>
              <w:left w:val="nil"/>
              <w:right w:val="nil"/>
            </w:tcBorders>
            <w:shd w:val="clear" w:color="auto" w:fill="auto"/>
            <w:noWrap/>
            <w:vAlign w:val="bottom"/>
          </w:tcPr>
          <w:p w14:paraId="0C034CD1"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Cert. Range</w:t>
            </w:r>
          </w:p>
        </w:tc>
      </w:tr>
      <w:tr w:rsidR="00485F92" w:rsidRPr="00FB00CA" w14:paraId="3EB335C4" w14:textId="77777777">
        <w:trPr>
          <w:trHeight w:val="260"/>
        </w:trPr>
        <w:tc>
          <w:tcPr>
            <w:tcW w:w="3450" w:type="dxa"/>
            <w:gridSpan w:val="2"/>
            <w:tcBorders>
              <w:left w:val="nil"/>
              <w:bottom w:val="nil"/>
              <w:right w:val="nil"/>
            </w:tcBorders>
            <w:shd w:val="clear" w:color="auto" w:fill="auto"/>
            <w:noWrap/>
            <w:vAlign w:val="bottom"/>
          </w:tcPr>
          <w:p w14:paraId="13AD680D"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xml:space="preserve">Detection Limit (ng/g </w:t>
            </w:r>
            <w:proofErr w:type="spellStart"/>
            <w:r w:rsidRPr="00FB00CA">
              <w:rPr>
                <w:rFonts w:ascii="Arial" w:hAnsi="Arial"/>
                <w:color w:val="000000"/>
                <w:sz w:val="22"/>
                <w:lang w:bidi="x-none"/>
              </w:rPr>
              <w:t>dw</w:t>
            </w:r>
            <w:proofErr w:type="spellEnd"/>
            <w:r w:rsidRPr="00FB00CA">
              <w:rPr>
                <w:rFonts w:ascii="Arial" w:hAnsi="Arial"/>
                <w:color w:val="000000"/>
                <w:sz w:val="22"/>
                <w:lang w:bidi="x-none"/>
              </w:rPr>
              <w:t>)</w:t>
            </w:r>
          </w:p>
        </w:tc>
        <w:tc>
          <w:tcPr>
            <w:tcW w:w="2080" w:type="dxa"/>
            <w:tcBorders>
              <w:left w:val="nil"/>
              <w:bottom w:val="nil"/>
              <w:right w:val="nil"/>
            </w:tcBorders>
            <w:shd w:val="clear" w:color="auto" w:fill="auto"/>
            <w:noWrap/>
            <w:vAlign w:val="bottom"/>
          </w:tcPr>
          <w:p w14:paraId="7E7D783C"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6</w:t>
            </w:r>
          </w:p>
        </w:tc>
        <w:tc>
          <w:tcPr>
            <w:tcW w:w="2080" w:type="dxa"/>
            <w:tcBorders>
              <w:left w:val="nil"/>
              <w:bottom w:val="nil"/>
              <w:right w:val="nil"/>
            </w:tcBorders>
            <w:shd w:val="clear" w:color="auto" w:fill="auto"/>
            <w:noWrap/>
            <w:vAlign w:val="bottom"/>
          </w:tcPr>
          <w:p w14:paraId="2E7A9ADF"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10.8 </w:t>
            </w:r>
          </w:p>
        </w:tc>
        <w:tc>
          <w:tcPr>
            <w:tcW w:w="2080" w:type="dxa"/>
            <w:tcBorders>
              <w:left w:val="nil"/>
              <w:bottom w:val="nil"/>
              <w:right w:val="nil"/>
            </w:tcBorders>
            <w:shd w:val="clear" w:color="auto" w:fill="auto"/>
            <w:noWrap/>
            <w:vAlign w:val="bottom"/>
          </w:tcPr>
          <w:p w14:paraId="30942744" w14:textId="77777777" w:rsidR="00485F92" w:rsidRPr="00FB00CA" w:rsidRDefault="00485F92" w:rsidP="00485F92">
            <w:pPr>
              <w:jc w:val="center"/>
              <w:rPr>
                <w:rFonts w:ascii="Geneva" w:hAnsi="Geneva"/>
                <w:color w:val="000000"/>
                <w:sz w:val="22"/>
                <w:lang w:bidi="x-none"/>
              </w:rPr>
            </w:pPr>
          </w:p>
        </w:tc>
      </w:tr>
      <w:tr w:rsidR="00485F92" w:rsidRPr="00FB00CA" w14:paraId="0D436369" w14:textId="77777777">
        <w:trPr>
          <w:trHeight w:val="260"/>
        </w:trPr>
        <w:tc>
          <w:tcPr>
            <w:tcW w:w="3450" w:type="dxa"/>
            <w:gridSpan w:val="2"/>
            <w:tcBorders>
              <w:top w:val="nil"/>
              <w:left w:val="nil"/>
              <w:bottom w:val="nil"/>
              <w:right w:val="nil"/>
            </w:tcBorders>
            <w:shd w:val="clear" w:color="auto" w:fill="auto"/>
            <w:noWrap/>
            <w:vAlign w:val="bottom"/>
          </w:tcPr>
          <w:p w14:paraId="7C2286C7"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Recovery on spiked samples</w:t>
            </w:r>
          </w:p>
        </w:tc>
        <w:tc>
          <w:tcPr>
            <w:tcW w:w="2080" w:type="dxa"/>
            <w:tcBorders>
              <w:top w:val="nil"/>
              <w:left w:val="nil"/>
              <w:bottom w:val="nil"/>
              <w:right w:val="nil"/>
            </w:tcBorders>
            <w:shd w:val="clear" w:color="auto" w:fill="auto"/>
            <w:noWrap/>
            <w:vAlign w:val="bottom"/>
          </w:tcPr>
          <w:p w14:paraId="539973AF"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21</w:t>
            </w:r>
          </w:p>
        </w:tc>
        <w:tc>
          <w:tcPr>
            <w:tcW w:w="2080" w:type="dxa"/>
            <w:tcBorders>
              <w:top w:val="nil"/>
              <w:left w:val="nil"/>
              <w:bottom w:val="nil"/>
              <w:right w:val="nil"/>
            </w:tcBorders>
            <w:shd w:val="clear" w:color="auto" w:fill="auto"/>
            <w:noWrap/>
            <w:vAlign w:val="bottom"/>
          </w:tcPr>
          <w:p w14:paraId="40F7CFEC"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91.4</w:t>
            </w:r>
          </w:p>
        </w:tc>
        <w:tc>
          <w:tcPr>
            <w:tcW w:w="2080" w:type="dxa"/>
            <w:tcBorders>
              <w:top w:val="nil"/>
              <w:left w:val="nil"/>
              <w:bottom w:val="nil"/>
              <w:right w:val="nil"/>
            </w:tcBorders>
            <w:shd w:val="clear" w:color="auto" w:fill="auto"/>
            <w:noWrap/>
            <w:vAlign w:val="bottom"/>
          </w:tcPr>
          <w:p w14:paraId="7DF07848" w14:textId="77777777" w:rsidR="00485F92" w:rsidRPr="00FB00CA" w:rsidRDefault="00485F92" w:rsidP="00485F92">
            <w:pPr>
              <w:jc w:val="center"/>
              <w:rPr>
                <w:rFonts w:ascii="Geneva" w:hAnsi="Geneva"/>
                <w:color w:val="000000"/>
                <w:sz w:val="22"/>
                <w:lang w:bidi="x-none"/>
              </w:rPr>
            </w:pPr>
          </w:p>
        </w:tc>
      </w:tr>
      <w:tr w:rsidR="00485F92" w:rsidRPr="00FB00CA" w14:paraId="24A7284D" w14:textId="77777777">
        <w:trPr>
          <w:trHeight w:val="260"/>
        </w:trPr>
        <w:tc>
          <w:tcPr>
            <w:tcW w:w="2150" w:type="dxa"/>
            <w:tcBorders>
              <w:top w:val="nil"/>
              <w:left w:val="nil"/>
              <w:bottom w:val="nil"/>
              <w:right w:val="nil"/>
            </w:tcBorders>
            <w:shd w:val="clear" w:color="auto" w:fill="auto"/>
            <w:noWrap/>
            <w:vAlign w:val="bottom"/>
          </w:tcPr>
          <w:p w14:paraId="6D49735B"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CV on Triplicates</w:t>
            </w:r>
          </w:p>
        </w:tc>
        <w:tc>
          <w:tcPr>
            <w:tcW w:w="1300" w:type="dxa"/>
            <w:tcBorders>
              <w:top w:val="nil"/>
              <w:left w:val="nil"/>
              <w:bottom w:val="nil"/>
              <w:right w:val="nil"/>
            </w:tcBorders>
            <w:shd w:val="clear" w:color="auto" w:fill="auto"/>
            <w:noWrap/>
            <w:vAlign w:val="bottom"/>
          </w:tcPr>
          <w:p w14:paraId="35DB5D73" w14:textId="77777777" w:rsidR="00485F92" w:rsidRPr="00FB00CA" w:rsidRDefault="00485F92" w:rsidP="00485F92">
            <w:pPr>
              <w:rPr>
                <w:rFonts w:ascii="Geneva" w:hAnsi="Geneva"/>
                <w:color w:val="000000"/>
                <w:sz w:val="22"/>
                <w:lang w:bidi="x-none"/>
              </w:rPr>
            </w:pPr>
          </w:p>
        </w:tc>
        <w:tc>
          <w:tcPr>
            <w:tcW w:w="2080" w:type="dxa"/>
            <w:tcBorders>
              <w:top w:val="nil"/>
              <w:left w:val="nil"/>
              <w:bottom w:val="nil"/>
              <w:right w:val="nil"/>
            </w:tcBorders>
            <w:shd w:val="clear" w:color="auto" w:fill="auto"/>
            <w:noWrap/>
            <w:vAlign w:val="bottom"/>
          </w:tcPr>
          <w:p w14:paraId="3B9CD421"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6</w:t>
            </w:r>
          </w:p>
        </w:tc>
        <w:tc>
          <w:tcPr>
            <w:tcW w:w="2080" w:type="dxa"/>
            <w:tcBorders>
              <w:top w:val="nil"/>
              <w:left w:val="nil"/>
              <w:bottom w:val="nil"/>
              <w:right w:val="nil"/>
            </w:tcBorders>
            <w:shd w:val="clear" w:color="auto" w:fill="auto"/>
            <w:noWrap/>
            <w:vAlign w:val="bottom"/>
          </w:tcPr>
          <w:p w14:paraId="0A82B72E"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3.86</w:t>
            </w:r>
          </w:p>
        </w:tc>
        <w:tc>
          <w:tcPr>
            <w:tcW w:w="2080" w:type="dxa"/>
            <w:tcBorders>
              <w:top w:val="nil"/>
              <w:left w:val="nil"/>
              <w:bottom w:val="nil"/>
              <w:right w:val="nil"/>
            </w:tcBorders>
            <w:shd w:val="clear" w:color="auto" w:fill="auto"/>
            <w:noWrap/>
            <w:vAlign w:val="bottom"/>
          </w:tcPr>
          <w:p w14:paraId="53BA143C" w14:textId="77777777" w:rsidR="00485F92" w:rsidRPr="00FB00CA" w:rsidRDefault="00485F92" w:rsidP="00485F92">
            <w:pPr>
              <w:jc w:val="center"/>
              <w:rPr>
                <w:rFonts w:ascii="Geneva" w:hAnsi="Geneva"/>
                <w:color w:val="000000"/>
                <w:sz w:val="22"/>
                <w:lang w:bidi="x-none"/>
              </w:rPr>
            </w:pPr>
          </w:p>
        </w:tc>
      </w:tr>
      <w:tr w:rsidR="00485F92" w:rsidRPr="00FB00CA" w14:paraId="7BA86A18" w14:textId="77777777">
        <w:trPr>
          <w:trHeight w:val="260"/>
        </w:trPr>
        <w:tc>
          <w:tcPr>
            <w:tcW w:w="3450" w:type="dxa"/>
            <w:gridSpan w:val="2"/>
            <w:tcBorders>
              <w:top w:val="nil"/>
              <w:left w:val="nil"/>
              <w:bottom w:val="nil"/>
              <w:right w:val="nil"/>
            </w:tcBorders>
            <w:shd w:val="clear" w:color="auto" w:fill="auto"/>
            <w:noWrap/>
            <w:vAlign w:val="bottom"/>
          </w:tcPr>
          <w:p w14:paraId="3BC1D808"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Standard Reference Materials</w:t>
            </w:r>
          </w:p>
        </w:tc>
        <w:tc>
          <w:tcPr>
            <w:tcW w:w="2080" w:type="dxa"/>
            <w:tcBorders>
              <w:top w:val="nil"/>
              <w:left w:val="nil"/>
              <w:bottom w:val="nil"/>
              <w:right w:val="nil"/>
            </w:tcBorders>
            <w:shd w:val="clear" w:color="auto" w:fill="auto"/>
            <w:noWrap/>
            <w:vAlign w:val="bottom"/>
          </w:tcPr>
          <w:p w14:paraId="16897E61"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nil"/>
              <w:right w:val="nil"/>
            </w:tcBorders>
            <w:shd w:val="clear" w:color="auto" w:fill="auto"/>
            <w:noWrap/>
            <w:vAlign w:val="bottom"/>
          </w:tcPr>
          <w:p w14:paraId="33C2100D"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nil"/>
              <w:right w:val="nil"/>
            </w:tcBorders>
            <w:shd w:val="clear" w:color="auto" w:fill="auto"/>
            <w:noWrap/>
            <w:vAlign w:val="bottom"/>
          </w:tcPr>
          <w:p w14:paraId="36EEA122" w14:textId="77777777" w:rsidR="00485F92" w:rsidRPr="00FB00CA" w:rsidRDefault="00485F92" w:rsidP="00485F92">
            <w:pPr>
              <w:jc w:val="center"/>
              <w:rPr>
                <w:rFonts w:ascii="Geneva" w:hAnsi="Geneva"/>
                <w:color w:val="000000"/>
                <w:sz w:val="22"/>
                <w:lang w:bidi="x-none"/>
              </w:rPr>
            </w:pPr>
          </w:p>
        </w:tc>
      </w:tr>
      <w:tr w:rsidR="00485F92" w:rsidRPr="00FB00CA" w14:paraId="45D15844" w14:textId="77777777">
        <w:trPr>
          <w:trHeight w:val="260"/>
        </w:trPr>
        <w:tc>
          <w:tcPr>
            <w:tcW w:w="2150" w:type="dxa"/>
            <w:tcBorders>
              <w:top w:val="nil"/>
              <w:left w:val="nil"/>
              <w:bottom w:val="nil"/>
              <w:right w:val="nil"/>
            </w:tcBorders>
            <w:shd w:val="clear" w:color="auto" w:fill="auto"/>
            <w:noWrap/>
            <w:vAlign w:val="bottom"/>
          </w:tcPr>
          <w:p w14:paraId="06FB0545" w14:textId="77777777" w:rsidR="00485F92" w:rsidRPr="00FB00CA" w:rsidRDefault="00485F92" w:rsidP="00485F92">
            <w:pPr>
              <w:jc w:val="right"/>
              <w:rPr>
                <w:rFonts w:ascii="Geneva" w:hAnsi="Geneva"/>
                <w:color w:val="000000"/>
                <w:sz w:val="22"/>
                <w:lang w:bidi="x-none"/>
              </w:rPr>
            </w:pPr>
            <w:r w:rsidRPr="00FB00CA">
              <w:rPr>
                <w:rFonts w:ascii="Arial" w:hAnsi="Arial"/>
                <w:color w:val="000000"/>
                <w:sz w:val="22"/>
                <w:lang w:bidi="x-none"/>
              </w:rPr>
              <w:t xml:space="preserve">ng/g </w:t>
            </w:r>
            <w:proofErr w:type="spellStart"/>
            <w:r w:rsidRPr="00FB00CA">
              <w:rPr>
                <w:rFonts w:ascii="Arial" w:hAnsi="Arial"/>
                <w:color w:val="000000"/>
                <w:sz w:val="22"/>
                <w:lang w:bidi="x-none"/>
              </w:rPr>
              <w:t>dw</w:t>
            </w:r>
            <w:proofErr w:type="spellEnd"/>
          </w:p>
        </w:tc>
        <w:tc>
          <w:tcPr>
            <w:tcW w:w="1300" w:type="dxa"/>
            <w:tcBorders>
              <w:top w:val="nil"/>
              <w:left w:val="nil"/>
              <w:bottom w:val="nil"/>
              <w:right w:val="nil"/>
            </w:tcBorders>
            <w:shd w:val="clear" w:color="auto" w:fill="auto"/>
            <w:noWrap/>
            <w:vAlign w:val="bottom"/>
          </w:tcPr>
          <w:p w14:paraId="6705E6EE"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DORM-3</w:t>
            </w:r>
          </w:p>
        </w:tc>
        <w:tc>
          <w:tcPr>
            <w:tcW w:w="2080" w:type="dxa"/>
            <w:tcBorders>
              <w:top w:val="nil"/>
              <w:left w:val="nil"/>
              <w:bottom w:val="nil"/>
              <w:right w:val="nil"/>
            </w:tcBorders>
            <w:shd w:val="clear" w:color="auto" w:fill="auto"/>
            <w:noWrap/>
            <w:vAlign w:val="bottom"/>
          </w:tcPr>
          <w:p w14:paraId="68792182"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6</w:t>
            </w:r>
          </w:p>
        </w:tc>
        <w:tc>
          <w:tcPr>
            <w:tcW w:w="2080" w:type="dxa"/>
            <w:tcBorders>
              <w:top w:val="nil"/>
              <w:left w:val="nil"/>
              <w:bottom w:val="nil"/>
              <w:right w:val="nil"/>
            </w:tcBorders>
            <w:shd w:val="clear" w:color="auto" w:fill="auto"/>
            <w:noWrap/>
            <w:vAlign w:val="bottom"/>
          </w:tcPr>
          <w:p w14:paraId="0A076B65"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368</w:t>
            </w:r>
          </w:p>
        </w:tc>
        <w:tc>
          <w:tcPr>
            <w:tcW w:w="2080" w:type="dxa"/>
            <w:tcBorders>
              <w:top w:val="nil"/>
              <w:left w:val="nil"/>
              <w:bottom w:val="nil"/>
              <w:right w:val="nil"/>
            </w:tcBorders>
            <w:shd w:val="clear" w:color="auto" w:fill="auto"/>
            <w:noWrap/>
            <w:vAlign w:val="bottom"/>
          </w:tcPr>
          <w:p w14:paraId="59AFBC22"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382 ± 60</w:t>
            </w:r>
          </w:p>
        </w:tc>
      </w:tr>
      <w:tr w:rsidR="00485F92" w:rsidRPr="00FB00CA" w14:paraId="2B7420C9" w14:textId="77777777">
        <w:trPr>
          <w:trHeight w:val="260"/>
        </w:trPr>
        <w:tc>
          <w:tcPr>
            <w:tcW w:w="2150" w:type="dxa"/>
            <w:tcBorders>
              <w:top w:val="nil"/>
              <w:left w:val="nil"/>
              <w:bottom w:val="nil"/>
              <w:right w:val="nil"/>
            </w:tcBorders>
            <w:shd w:val="clear" w:color="auto" w:fill="auto"/>
            <w:noWrap/>
            <w:vAlign w:val="bottom"/>
          </w:tcPr>
          <w:p w14:paraId="0B340279" w14:textId="77777777" w:rsidR="00485F92" w:rsidRPr="00FB00CA" w:rsidRDefault="00485F92" w:rsidP="00485F92">
            <w:pPr>
              <w:jc w:val="right"/>
              <w:rPr>
                <w:rFonts w:ascii="Geneva" w:hAnsi="Geneva"/>
                <w:color w:val="000000"/>
                <w:sz w:val="22"/>
                <w:lang w:bidi="x-none"/>
              </w:rPr>
            </w:pPr>
            <w:r w:rsidRPr="00FB00CA">
              <w:rPr>
                <w:rFonts w:ascii="Arial" w:hAnsi="Arial"/>
                <w:color w:val="000000"/>
                <w:sz w:val="22"/>
                <w:lang w:bidi="x-none"/>
              </w:rPr>
              <w:t xml:space="preserve">ng/g </w:t>
            </w:r>
            <w:proofErr w:type="spellStart"/>
            <w:r w:rsidRPr="00FB00CA">
              <w:rPr>
                <w:rFonts w:ascii="Arial" w:hAnsi="Arial"/>
                <w:color w:val="000000"/>
                <w:sz w:val="22"/>
                <w:lang w:bidi="x-none"/>
              </w:rPr>
              <w:t>dw</w:t>
            </w:r>
            <w:proofErr w:type="spellEnd"/>
          </w:p>
        </w:tc>
        <w:tc>
          <w:tcPr>
            <w:tcW w:w="1300" w:type="dxa"/>
            <w:tcBorders>
              <w:top w:val="nil"/>
              <w:left w:val="nil"/>
              <w:bottom w:val="nil"/>
              <w:right w:val="nil"/>
            </w:tcBorders>
            <w:shd w:val="clear" w:color="auto" w:fill="auto"/>
            <w:noWrap/>
            <w:vAlign w:val="bottom"/>
          </w:tcPr>
          <w:p w14:paraId="654F804C"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DOLT-4</w:t>
            </w:r>
          </w:p>
        </w:tc>
        <w:tc>
          <w:tcPr>
            <w:tcW w:w="2080" w:type="dxa"/>
            <w:tcBorders>
              <w:top w:val="nil"/>
              <w:left w:val="nil"/>
              <w:bottom w:val="nil"/>
              <w:right w:val="nil"/>
            </w:tcBorders>
            <w:shd w:val="clear" w:color="auto" w:fill="auto"/>
            <w:noWrap/>
            <w:vAlign w:val="bottom"/>
          </w:tcPr>
          <w:p w14:paraId="35F9C11F"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6</w:t>
            </w:r>
          </w:p>
        </w:tc>
        <w:tc>
          <w:tcPr>
            <w:tcW w:w="2080" w:type="dxa"/>
            <w:tcBorders>
              <w:top w:val="nil"/>
              <w:left w:val="nil"/>
              <w:bottom w:val="nil"/>
              <w:right w:val="nil"/>
            </w:tcBorders>
            <w:shd w:val="clear" w:color="auto" w:fill="auto"/>
            <w:noWrap/>
            <w:vAlign w:val="bottom"/>
          </w:tcPr>
          <w:p w14:paraId="4972901D"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2636</w:t>
            </w:r>
          </w:p>
        </w:tc>
        <w:tc>
          <w:tcPr>
            <w:tcW w:w="2080" w:type="dxa"/>
            <w:tcBorders>
              <w:top w:val="nil"/>
              <w:left w:val="nil"/>
              <w:bottom w:val="nil"/>
              <w:right w:val="nil"/>
            </w:tcBorders>
            <w:shd w:val="clear" w:color="auto" w:fill="auto"/>
            <w:noWrap/>
            <w:vAlign w:val="bottom"/>
          </w:tcPr>
          <w:p w14:paraId="4B0F77CF"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2580 ± 220</w:t>
            </w:r>
          </w:p>
        </w:tc>
      </w:tr>
      <w:tr w:rsidR="00485F92" w:rsidRPr="00FB00CA" w14:paraId="03D220FF" w14:textId="77777777">
        <w:trPr>
          <w:trHeight w:val="260"/>
        </w:trPr>
        <w:tc>
          <w:tcPr>
            <w:tcW w:w="2150" w:type="dxa"/>
            <w:tcBorders>
              <w:top w:val="nil"/>
              <w:left w:val="nil"/>
              <w:bottom w:val="dotted" w:sz="6" w:space="0" w:color="auto"/>
              <w:right w:val="nil"/>
            </w:tcBorders>
            <w:shd w:val="clear" w:color="auto" w:fill="auto"/>
            <w:noWrap/>
            <w:vAlign w:val="bottom"/>
          </w:tcPr>
          <w:p w14:paraId="211A77AB" w14:textId="77777777" w:rsidR="00485F92" w:rsidRPr="00FB00CA" w:rsidRDefault="00485F92" w:rsidP="00485F92">
            <w:pPr>
              <w:rPr>
                <w:rFonts w:ascii="Geneva" w:hAnsi="Geneva"/>
                <w:color w:val="000000"/>
                <w:sz w:val="22"/>
                <w:lang w:bidi="x-none"/>
              </w:rPr>
            </w:pPr>
          </w:p>
        </w:tc>
        <w:tc>
          <w:tcPr>
            <w:tcW w:w="1300" w:type="dxa"/>
            <w:tcBorders>
              <w:top w:val="nil"/>
              <w:left w:val="nil"/>
              <w:bottom w:val="dotted" w:sz="6" w:space="0" w:color="auto"/>
              <w:right w:val="nil"/>
            </w:tcBorders>
            <w:shd w:val="clear" w:color="auto" w:fill="auto"/>
            <w:noWrap/>
            <w:vAlign w:val="bottom"/>
          </w:tcPr>
          <w:p w14:paraId="0F6D9AE3" w14:textId="77777777" w:rsidR="00485F92" w:rsidRPr="00FB00CA" w:rsidRDefault="00485F92" w:rsidP="00485F92">
            <w:pPr>
              <w:rPr>
                <w:rFonts w:ascii="Geneva" w:hAnsi="Geneva"/>
                <w:color w:val="000000"/>
                <w:sz w:val="22"/>
                <w:lang w:bidi="x-none"/>
              </w:rPr>
            </w:pPr>
          </w:p>
        </w:tc>
        <w:tc>
          <w:tcPr>
            <w:tcW w:w="2080" w:type="dxa"/>
            <w:tcBorders>
              <w:top w:val="nil"/>
              <w:left w:val="nil"/>
              <w:bottom w:val="dotted" w:sz="6" w:space="0" w:color="auto"/>
              <w:right w:val="nil"/>
            </w:tcBorders>
            <w:shd w:val="clear" w:color="auto" w:fill="auto"/>
            <w:noWrap/>
            <w:vAlign w:val="bottom"/>
          </w:tcPr>
          <w:p w14:paraId="7ADBC00B"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dotted" w:sz="6" w:space="0" w:color="auto"/>
              <w:right w:val="nil"/>
            </w:tcBorders>
            <w:shd w:val="clear" w:color="auto" w:fill="auto"/>
            <w:noWrap/>
            <w:vAlign w:val="bottom"/>
          </w:tcPr>
          <w:p w14:paraId="5B634E12"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dotted" w:sz="6" w:space="0" w:color="auto"/>
              <w:right w:val="nil"/>
            </w:tcBorders>
            <w:shd w:val="clear" w:color="auto" w:fill="auto"/>
            <w:noWrap/>
            <w:vAlign w:val="bottom"/>
          </w:tcPr>
          <w:p w14:paraId="0BB6EDEC" w14:textId="77777777" w:rsidR="00485F92" w:rsidRPr="00FB00CA" w:rsidRDefault="00485F92" w:rsidP="00485F92">
            <w:pPr>
              <w:jc w:val="center"/>
              <w:rPr>
                <w:rFonts w:ascii="Geneva" w:hAnsi="Geneva"/>
                <w:color w:val="000000"/>
                <w:sz w:val="22"/>
                <w:lang w:bidi="x-none"/>
              </w:rPr>
            </w:pPr>
          </w:p>
        </w:tc>
      </w:tr>
      <w:tr w:rsidR="00485F92" w:rsidRPr="00FB00CA" w14:paraId="20BAB486" w14:textId="77777777">
        <w:trPr>
          <w:trHeight w:val="280"/>
        </w:trPr>
        <w:tc>
          <w:tcPr>
            <w:tcW w:w="2150" w:type="dxa"/>
            <w:tcBorders>
              <w:top w:val="dotted" w:sz="6" w:space="0" w:color="auto"/>
              <w:left w:val="nil"/>
              <w:right w:val="nil"/>
            </w:tcBorders>
            <w:shd w:val="clear" w:color="auto" w:fill="auto"/>
            <w:noWrap/>
            <w:vAlign w:val="bottom"/>
          </w:tcPr>
          <w:p w14:paraId="2F489B33" w14:textId="77777777" w:rsidR="00485F92" w:rsidRPr="00FB00CA" w:rsidRDefault="00485F92" w:rsidP="00485F92">
            <w:pPr>
              <w:rPr>
                <w:rFonts w:ascii="Geneva" w:hAnsi="Geneva"/>
                <w:b/>
                <w:color w:val="000000"/>
                <w:sz w:val="22"/>
                <w:lang w:bidi="x-none"/>
              </w:rPr>
            </w:pPr>
            <w:r w:rsidRPr="00FB00CA">
              <w:rPr>
                <w:rFonts w:ascii="Arial" w:hAnsi="Arial"/>
                <w:b/>
                <w:color w:val="000000"/>
                <w:sz w:val="22"/>
                <w:lang w:bidi="x-none"/>
              </w:rPr>
              <w:t>Amphipod Hg</w:t>
            </w:r>
            <w:r w:rsidRPr="00FB00CA">
              <w:rPr>
                <w:rFonts w:ascii="Arial" w:hAnsi="Arial"/>
                <w:b/>
                <w:color w:val="000000"/>
                <w:sz w:val="22"/>
                <w:vertAlign w:val="subscript"/>
                <w:lang w:bidi="x-none"/>
              </w:rPr>
              <w:t>T</w:t>
            </w:r>
            <w:r w:rsidRPr="00FB00CA">
              <w:rPr>
                <w:rFonts w:ascii="Arial" w:hAnsi="Arial"/>
                <w:b/>
                <w:color w:val="000000"/>
                <w:sz w:val="22"/>
                <w:lang w:bidi="x-none"/>
              </w:rPr>
              <w:t xml:space="preserve"> QA</w:t>
            </w:r>
          </w:p>
        </w:tc>
        <w:tc>
          <w:tcPr>
            <w:tcW w:w="1300" w:type="dxa"/>
            <w:tcBorders>
              <w:top w:val="dotted" w:sz="6" w:space="0" w:color="auto"/>
              <w:left w:val="nil"/>
              <w:right w:val="nil"/>
            </w:tcBorders>
            <w:shd w:val="clear" w:color="auto" w:fill="auto"/>
            <w:noWrap/>
            <w:vAlign w:val="bottom"/>
          </w:tcPr>
          <w:p w14:paraId="0F76AEB9" w14:textId="77777777" w:rsidR="00485F92" w:rsidRPr="00FB00CA" w:rsidRDefault="00485F92" w:rsidP="00485F92">
            <w:pPr>
              <w:rPr>
                <w:rFonts w:ascii="Geneva" w:hAnsi="Geneva"/>
                <w:color w:val="000000"/>
                <w:sz w:val="22"/>
                <w:lang w:bidi="x-none"/>
              </w:rPr>
            </w:pPr>
          </w:p>
        </w:tc>
        <w:tc>
          <w:tcPr>
            <w:tcW w:w="2080" w:type="dxa"/>
            <w:tcBorders>
              <w:top w:val="dotted" w:sz="6" w:space="0" w:color="auto"/>
              <w:left w:val="nil"/>
              <w:right w:val="nil"/>
            </w:tcBorders>
            <w:shd w:val="clear" w:color="auto" w:fill="auto"/>
            <w:noWrap/>
            <w:vAlign w:val="bottom"/>
          </w:tcPr>
          <w:p w14:paraId="5719B5B7"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n</w:t>
            </w:r>
          </w:p>
        </w:tc>
        <w:tc>
          <w:tcPr>
            <w:tcW w:w="2080" w:type="dxa"/>
            <w:tcBorders>
              <w:top w:val="dotted" w:sz="6" w:space="0" w:color="auto"/>
              <w:left w:val="nil"/>
              <w:right w:val="nil"/>
            </w:tcBorders>
            <w:shd w:val="clear" w:color="auto" w:fill="auto"/>
            <w:noWrap/>
            <w:vAlign w:val="bottom"/>
          </w:tcPr>
          <w:p w14:paraId="105D0467"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Mean</w:t>
            </w:r>
          </w:p>
        </w:tc>
        <w:tc>
          <w:tcPr>
            <w:tcW w:w="2080" w:type="dxa"/>
            <w:tcBorders>
              <w:top w:val="dotted" w:sz="6" w:space="0" w:color="auto"/>
              <w:left w:val="nil"/>
              <w:right w:val="nil"/>
            </w:tcBorders>
            <w:shd w:val="clear" w:color="auto" w:fill="auto"/>
            <w:noWrap/>
            <w:vAlign w:val="bottom"/>
          </w:tcPr>
          <w:p w14:paraId="5B7E8B81"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Cert. Range</w:t>
            </w:r>
          </w:p>
        </w:tc>
      </w:tr>
      <w:tr w:rsidR="00485F92" w:rsidRPr="00FB00CA" w14:paraId="4270BD22" w14:textId="77777777">
        <w:trPr>
          <w:trHeight w:val="260"/>
        </w:trPr>
        <w:tc>
          <w:tcPr>
            <w:tcW w:w="3450" w:type="dxa"/>
            <w:gridSpan w:val="2"/>
            <w:tcBorders>
              <w:left w:val="nil"/>
              <w:bottom w:val="nil"/>
              <w:right w:val="nil"/>
            </w:tcBorders>
            <w:shd w:val="clear" w:color="auto" w:fill="auto"/>
            <w:noWrap/>
            <w:vAlign w:val="bottom"/>
          </w:tcPr>
          <w:p w14:paraId="35AC384B"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xml:space="preserve">Detection Limit (ng/g </w:t>
            </w:r>
            <w:proofErr w:type="spellStart"/>
            <w:r w:rsidRPr="00FB00CA">
              <w:rPr>
                <w:rFonts w:ascii="Arial" w:hAnsi="Arial"/>
                <w:color w:val="000000"/>
                <w:sz w:val="22"/>
                <w:lang w:bidi="x-none"/>
              </w:rPr>
              <w:t>dw</w:t>
            </w:r>
            <w:proofErr w:type="spellEnd"/>
            <w:r w:rsidRPr="00FB00CA">
              <w:rPr>
                <w:rFonts w:ascii="Arial" w:hAnsi="Arial"/>
                <w:color w:val="000000"/>
                <w:sz w:val="22"/>
                <w:lang w:bidi="x-none"/>
              </w:rPr>
              <w:t>)</w:t>
            </w:r>
          </w:p>
        </w:tc>
        <w:tc>
          <w:tcPr>
            <w:tcW w:w="2080" w:type="dxa"/>
            <w:tcBorders>
              <w:left w:val="nil"/>
              <w:bottom w:val="nil"/>
              <w:right w:val="nil"/>
            </w:tcBorders>
            <w:shd w:val="clear" w:color="auto" w:fill="auto"/>
            <w:noWrap/>
            <w:vAlign w:val="bottom"/>
          </w:tcPr>
          <w:p w14:paraId="2AF87741"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2</w:t>
            </w:r>
          </w:p>
        </w:tc>
        <w:tc>
          <w:tcPr>
            <w:tcW w:w="2080" w:type="dxa"/>
            <w:tcBorders>
              <w:left w:val="nil"/>
              <w:bottom w:val="nil"/>
              <w:right w:val="nil"/>
            </w:tcBorders>
            <w:shd w:val="clear" w:color="auto" w:fill="auto"/>
            <w:noWrap/>
            <w:vAlign w:val="bottom"/>
          </w:tcPr>
          <w:p w14:paraId="1903C292"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8.0</w:t>
            </w:r>
          </w:p>
        </w:tc>
        <w:tc>
          <w:tcPr>
            <w:tcW w:w="2080" w:type="dxa"/>
            <w:tcBorders>
              <w:left w:val="nil"/>
              <w:bottom w:val="nil"/>
              <w:right w:val="nil"/>
            </w:tcBorders>
            <w:shd w:val="clear" w:color="auto" w:fill="auto"/>
            <w:noWrap/>
            <w:vAlign w:val="bottom"/>
          </w:tcPr>
          <w:p w14:paraId="404C193B" w14:textId="77777777" w:rsidR="00485F92" w:rsidRPr="00FB00CA" w:rsidRDefault="00485F92" w:rsidP="00485F92">
            <w:pPr>
              <w:jc w:val="center"/>
              <w:rPr>
                <w:rFonts w:ascii="Geneva" w:hAnsi="Geneva"/>
                <w:color w:val="000000"/>
                <w:sz w:val="22"/>
                <w:lang w:bidi="x-none"/>
              </w:rPr>
            </w:pPr>
          </w:p>
        </w:tc>
      </w:tr>
      <w:tr w:rsidR="00485F92" w:rsidRPr="00FB00CA" w14:paraId="287D7E94" w14:textId="77777777">
        <w:trPr>
          <w:trHeight w:val="260"/>
        </w:trPr>
        <w:tc>
          <w:tcPr>
            <w:tcW w:w="3450" w:type="dxa"/>
            <w:gridSpan w:val="2"/>
            <w:tcBorders>
              <w:top w:val="nil"/>
              <w:left w:val="nil"/>
              <w:bottom w:val="nil"/>
              <w:right w:val="nil"/>
            </w:tcBorders>
            <w:shd w:val="clear" w:color="auto" w:fill="auto"/>
            <w:noWrap/>
            <w:vAlign w:val="bottom"/>
          </w:tcPr>
          <w:p w14:paraId="7A148CE0"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Recovery on spiked samples</w:t>
            </w:r>
          </w:p>
        </w:tc>
        <w:tc>
          <w:tcPr>
            <w:tcW w:w="2080" w:type="dxa"/>
            <w:tcBorders>
              <w:top w:val="nil"/>
              <w:left w:val="nil"/>
              <w:bottom w:val="nil"/>
              <w:right w:val="nil"/>
            </w:tcBorders>
            <w:shd w:val="clear" w:color="auto" w:fill="auto"/>
            <w:noWrap/>
            <w:vAlign w:val="bottom"/>
          </w:tcPr>
          <w:p w14:paraId="016D712E"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2</w:t>
            </w:r>
          </w:p>
        </w:tc>
        <w:tc>
          <w:tcPr>
            <w:tcW w:w="2080" w:type="dxa"/>
            <w:tcBorders>
              <w:top w:val="nil"/>
              <w:left w:val="nil"/>
              <w:bottom w:val="nil"/>
              <w:right w:val="nil"/>
            </w:tcBorders>
            <w:shd w:val="clear" w:color="auto" w:fill="auto"/>
            <w:noWrap/>
            <w:vAlign w:val="bottom"/>
          </w:tcPr>
          <w:p w14:paraId="5E9B924E"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115.7</w:t>
            </w:r>
          </w:p>
        </w:tc>
        <w:tc>
          <w:tcPr>
            <w:tcW w:w="2080" w:type="dxa"/>
            <w:tcBorders>
              <w:top w:val="nil"/>
              <w:left w:val="nil"/>
              <w:bottom w:val="nil"/>
              <w:right w:val="nil"/>
            </w:tcBorders>
            <w:shd w:val="clear" w:color="auto" w:fill="auto"/>
            <w:noWrap/>
            <w:vAlign w:val="bottom"/>
          </w:tcPr>
          <w:p w14:paraId="114894B4" w14:textId="77777777" w:rsidR="00485F92" w:rsidRPr="00FB00CA" w:rsidRDefault="00485F92" w:rsidP="00485F92">
            <w:pPr>
              <w:jc w:val="center"/>
              <w:rPr>
                <w:rFonts w:ascii="Geneva" w:hAnsi="Geneva"/>
                <w:color w:val="000000"/>
                <w:sz w:val="22"/>
                <w:lang w:bidi="x-none"/>
              </w:rPr>
            </w:pPr>
          </w:p>
        </w:tc>
      </w:tr>
      <w:tr w:rsidR="00485F92" w:rsidRPr="00FB00CA" w14:paraId="12F889EF" w14:textId="77777777">
        <w:trPr>
          <w:trHeight w:val="260"/>
        </w:trPr>
        <w:tc>
          <w:tcPr>
            <w:tcW w:w="2150" w:type="dxa"/>
            <w:tcBorders>
              <w:top w:val="nil"/>
              <w:left w:val="nil"/>
              <w:bottom w:val="nil"/>
              <w:right w:val="nil"/>
            </w:tcBorders>
            <w:shd w:val="clear" w:color="auto" w:fill="auto"/>
            <w:noWrap/>
            <w:vAlign w:val="bottom"/>
          </w:tcPr>
          <w:p w14:paraId="716DCEA7"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CV on Triplicates</w:t>
            </w:r>
          </w:p>
        </w:tc>
        <w:tc>
          <w:tcPr>
            <w:tcW w:w="1300" w:type="dxa"/>
            <w:tcBorders>
              <w:top w:val="nil"/>
              <w:left w:val="nil"/>
              <w:bottom w:val="nil"/>
              <w:right w:val="nil"/>
            </w:tcBorders>
            <w:shd w:val="clear" w:color="auto" w:fill="auto"/>
            <w:noWrap/>
            <w:vAlign w:val="bottom"/>
          </w:tcPr>
          <w:p w14:paraId="1C9DC32C" w14:textId="77777777" w:rsidR="00485F92" w:rsidRPr="00FB00CA" w:rsidRDefault="00485F92" w:rsidP="00485F92">
            <w:pPr>
              <w:rPr>
                <w:rFonts w:ascii="Geneva" w:hAnsi="Geneva"/>
                <w:color w:val="000000"/>
                <w:sz w:val="22"/>
                <w:lang w:bidi="x-none"/>
              </w:rPr>
            </w:pPr>
          </w:p>
        </w:tc>
        <w:tc>
          <w:tcPr>
            <w:tcW w:w="2080" w:type="dxa"/>
            <w:tcBorders>
              <w:top w:val="nil"/>
              <w:left w:val="nil"/>
              <w:bottom w:val="nil"/>
              <w:right w:val="nil"/>
            </w:tcBorders>
            <w:shd w:val="clear" w:color="auto" w:fill="auto"/>
            <w:noWrap/>
            <w:vAlign w:val="bottom"/>
          </w:tcPr>
          <w:p w14:paraId="6B55350A"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1</w:t>
            </w:r>
          </w:p>
        </w:tc>
        <w:tc>
          <w:tcPr>
            <w:tcW w:w="2080" w:type="dxa"/>
            <w:tcBorders>
              <w:top w:val="nil"/>
              <w:left w:val="nil"/>
              <w:bottom w:val="nil"/>
              <w:right w:val="nil"/>
            </w:tcBorders>
            <w:shd w:val="clear" w:color="auto" w:fill="auto"/>
            <w:noWrap/>
            <w:vAlign w:val="bottom"/>
          </w:tcPr>
          <w:p w14:paraId="3EE0BA77"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1.2</w:t>
            </w:r>
          </w:p>
        </w:tc>
        <w:tc>
          <w:tcPr>
            <w:tcW w:w="2080" w:type="dxa"/>
            <w:tcBorders>
              <w:top w:val="nil"/>
              <w:left w:val="nil"/>
              <w:bottom w:val="nil"/>
              <w:right w:val="nil"/>
            </w:tcBorders>
            <w:shd w:val="clear" w:color="auto" w:fill="auto"/>
            <w:noWrap/>
            <w:vAlign w:val="bottom"/>
          </w:tcPr>
          <w:p w14:paraId="4E5E4E8E" w14:textId="77777777" w:rsidR="00485F92" w:rsidRPr="00FB00CA" w:rsidRDefault="00485F92" w:rsidP="00485F92">
            <w:pPr>
              <w:jc w:val="center"/>
              <w:rPr>
                <w:rFonts w:ascii="Geneva" w:hAnsi="Geneva"/>
                <w:color w:val="000000"/>
                <w:sz w:val="22"/>
                <w:lang w:bidi="x-none"/>
              </w:rPr>
            </w:pPr>
          </w:p>
        </w:tc>
      </w:tr>
      <w:tr w:rsidR="00485F92" w:rsidRPr="00FB00CA" w14:paraId="18D71ECF" w14:textId="77777777">
        <w:trPr>
          <w:trHeight w:val="260"/>
        </w:trPr>
        <w:tc>
          <w:tcPr>
            <w:tcW w:w="3450" w:type="dxa"/>
            <w:gridSpan w:val="2"/>
            <w:tcBorders>
              <w:top w:val="nil"/>
              <w:left w:val="nil"/>
              <w:bottom w:val="nil"/>
              <w:right w:val="nil"/>
            </w:tcBorders>
            <w:shd w:val="clear" w:color="auto" w:fill="auto"/>
            <w:noWrap/>
            <w:vAlign w:val="bottom"/>
          </w:tcPr>
          <w:p w14:paraId="63D06253"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Standard Reference Materials</w:t>
            </w:r>
          </w:p>
        </w:tc>
        <w:tc>
          <w:tcPr>
            <w:tcW w:w="2080" w:type="dxa"/>
            <w:tcBorders>
              <w:top w:val="nil"/>
              <w:left w:val="nil"/>
              <w:bottom w:val="nil"/>
              <w:right w:val="nil"/>
            </w:tcBorders>
            <w:shd w:val="clear" w:color="auto" w:fill="auto"/>
            <w:noWrap/>
            <w:vAlign w:val="bottom"/>
          </w:tcPr>
          <w:p w14:paraId="4C58F573"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nil"/>
              <w:right w:val="nil"/>
            </w:tcBorders>
            <w:shd w:val="clear" w:color="auto" w:fill="auto"/>
            <w:noWrap/>
            <w:vAlign w:val="bottom"/>
          </w:tcPr>
          <w:p w14:paraId="0BCD1AD1"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nil"/>
              <w:right w:val="nil"/>
            </w:tcBorders>
            <w:shd w:val="clear" w:color="auto" w:fill="auto"/>
            <w:noWrap/>
            <w:vAlign w:val="bottom"/>
          </w:tcPr>
          <w:p w14:paraId="568A75D4" w14:textId="77777777" w:rsidR="00485F92" w:rsidRPr="00FB00CA" w:rsidRDefault="00485F92" w:rsidP="00485F92">
            <w:pPr>
              <w:jc w:val="center"/>
              <w:rPr>
                <w:rFonts w:ascii="Geneva" w:hAnsi="Geneva"/>
                <w:color w:val="000000"/>
                <w:sz w:val="22"/>
                <w:lang w:bidi="x-none"/>
              </w:rPr>
            </w:pPr>
          </w:p>
        </w:tc>
      </w:tr>
      <w:tr w:rsidR="00485F92" w:rsidRPr="00FB00CA" w14:paraId="385B9278" w14:textId="77777777">
        <w:trPr>
          <w:trHeight w:val="260"/>
        </w:trPr>
        <w:tc>
          <w:tcPr>
            <w:tcW w:w="2150" w:type="dxa"/>
            <w:tcBorders>
              <w:top w:val="nil"/>
              <w:left w:val="nil"/>
              <w:bottom w:val="nil"/>
              <w:right w:val="nil"/>
            </w:tcBorders>
            <w:shd w:val="clear" w:color="auto" w:fill="auto"/>
            <w:noWrap/>
            <w:vAlign w:val="bottom"/>
          </w:tcPr>
          <w:p w14:paraId="0FC5A80B" w14:textId="77777777" w:rsidR="00485F92" w:rsidRPr="00FB00CA" w:rsidRDefault="00485F92" w:rsidP="00485F92">
            <w:pPr>
              <w:jc w:val="right"/>
              <w:rPr>
                <w:rFonts w:ascii="Geneva" w:hAnsi="Geneva"/>
                <w:color w:val="000000"/>
                <w:sz w:val="22"/>
                <w:lang w:bidi="x-none"/>
              </w:rPr>
            </w:pPr>
            <w:r w:rsidRPr="00FB00CA">
              <w:rPr>
                <w:rFonts w:ascii="Arial" w:hAnsi="Arial"/>
                <w:color w:val="000000"/>
                <w:sz w:val="22"/>
                <w:lang w:bidi="x-none"/>
              </w:rPr>
              <w:t xml:space="preserve">ng/g </w:t>
            </w:r>
            <w:proofErr w:type="spellStart"/>
            <w:r w:rsidRPr="00FB00CA">
              <w:rPr>
                <w:rFonts w:ascii="Arial" w:hAnsi="Arial"/>
                <w:color w:val="000000"/>
                <w:sz w:val="22"/>
                <w:lang w:bidi="x-none"/>
              </w:rPr>
              <w:t>dw</w:t>
            </w:r>
            <w:proofErr w:type="spellEnd"/>
          </w:p>
        </w:tc>
        <w:tc>
          <w:tcPr>
            <w:tcW w:w="1300" w:type="dxa"/>
            <w:tcBorders>
              <w:top w:val="nil"/>
              <w:left w:val="nil"/>
              <w:bottom w:val="nil"/>
              <w:right w:val="nil"/>
            </w:tcBorders>
            <w:shd w:val="clear" w:color="auto" w:fill="auto"/>
            <w:noWrap/>
            <w:vAlign w:val="bottom"/>
          </w:tcPr>
          <w:p w14:paraId="2CCC745B"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MUSS 2976</w:t>
            </w:r>
          </w:p>
        </w:tc>
        <w:tc>
          <w:tcPr>
            <w:tcW w:w="2080" w:type="dxa"/>
            <w:tcBorders>
              <w:top w:val="nil"/>
              <w:left w:val="nil"/>
              <w:bottom w:val="nil"/>
              <w:right w:val="nil"/>
            </w:tcBorders>
            <w:shd w:val="clear" w:color="auto" w:fill="auto"/>
            <w:noWrap/>
            <w:vAlign w:val="bottom"/>
          </w:tcPr>
          <w:p w14:paraId="3A98900A"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5</w:t>
            </w:r>
          </w:p>
        </w:tc>
        <w:tc>
          <w:tcPr>
            <w:tcW w:w="2080" w:type="dxa"/>
            <w:tcBorders>
              <w:top w:val="nil"/>
              <w:left w:val="nil"/>
              <w:bottom w:val="nil"/>
              <w:right w:val="nil"/>
            </w:tcBorders>
            <w:shd w:val="clear" w:color="auto" w:fill="auto"/>
            <w:noWrap/>
            <w:vAlign w:val="bottom"/>
          </w:tcPr>
          <w:p w14:paraId="09DAA654"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59.9</w:t>
            </w:r>
          </w:p>
        </w:tc>
        <w:tc>
          <w:tcPr>
            <w:tcW w:w="2080" w:type="dxa"/>
            <w:tcBorders>
              <w:top w:val="nil"/>
              <w:left w:val="nil"/>
              <w:bottom w:val="nil"/>
              <w:right w:val="nil"/>
            </w:tcBorders>
            <w:shd w:val="clear" w:color="auto" w:fill="auto"/>
            <w:noWrap/>
            <w:vAlign w:val="bottom"/>
          </w:tcPr>
          <w:p w14:paraId="242B9E10"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61.0 ± 3.6</w:t>
            </w:r>
          </w:p>
        </w:tc>
      </w:tr>
      <w:tr w:rsidR="00485F92" w:rsidRPr="00FB00CA" w14:paraId="3260BE04" w14:textId="77777777">
        <w:trPr>
          <w:trHeight w:val="260"/>
        </w:trPr>
        <w:tc>
          <w:tcPr>
            <w:tcW w:w="2150" w:type="dxa"/>
            <w:tcBorders>
              <w:top w:val="nil"/>
              <w:left w:val="nil"/>
              <w:bottom w:val="nil"/>
              <w:right w:val="nil"/>
            </w:tcBorders>
            <w:shd w:val="clear" w:color="auto" w:fill="auto"/>
            <w:noWrap/>
            <w:vAlign w:val="bottom"/>
          </w:tcPr>
          <w:p w14:paraId="2C0EEA73" w14:textId="77777777" w:rsidR="00485F92" w:rsidRPr="00FB00CA" w:rsidRDefault="00485F92" w:rsidP="00485F92">
            <w:pPr>
              <w:jc w:val="right"/>
              <w:rPr>
                <w:rFonts w:ascii="Geneva" w:hAnsi="Geneva"/>
                <w:color w:val="000000"/>
                <w:sz w:val="22"/>
                <w:lang w:bidi="x-none"/>
              </w:rPr>
            </w:pPr>
            <w:r w:rsidRPr="00FB00CA">
              <w:rPr>
                <w:rFonts w:ascii="Arial" w:hAnsi="Arial"/>
                <w:color w:val="000000"/>
                <w:sz w:val="22"/>
                <w:lang w:bidi="x-none"/>
              </w:rPr>
              <w:t xml:space="preserve">ng/g </w:t>
            </w:r>
            <w:proofErr w:type="spellStart"/>
            <w:r w:rsidRPr="00FB00CA">
              <w:rPr>
                <w:rFonts w:ascii="Arial" w:hAnsi="Arial"/>
                <w:color w:val="000000"/>
                <w:sz w:val="22"/>
                <w:lang w:bidi="x-none"/>
              </w:rPr>
              <w:t>dw</w:t>
            </w:r>
            <w:proofErr w:type="spellEnd"/>
          </w:p>
        </w:tc>
        <w:tc>
          <w:tcPr>
            <w:tcW w:w="1300" w:type="dxa"/>
            <w:tcBorders>
              <w:top w:val="nil"/>
              <w:left w:val="nil"/>
              <w:bottom w:val="nil"/>
              <w:right w:val="nil"/>
            </w:tcBorders>
            <w:shd w:val="clear" w:color="auto" w:fill="auto"/>
            <w:noWrap/>
            <w:vAlign w:val="bottom"/>
          </w:tcPr>
          <w:p w14:paraId="534503FC"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TORT-2</w:t>
            </w:r>
          </w:p>
        </w:tc>
        <w:tc>
          <w:tcPr>
            <w:tcW w:w="2080" w:type="dxa"/>
            <w:tcBorders>
              <w:top w:val="nil"/>
              <w:left w:val="nil"/>
              <w:bottom w:val="nil"/>
              <w:right w:val="nil"/>
            </w:tcBorders>
            <w:shd w:val="clear" w:color="auto" w:fill="auto"/>
            <w:noWrap/>
            <w:vAlign w:val="bottom"/>
          </w:tcPr>
          <w:p w14:paraId="19B6BBF5"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5</w:t>
            </w:r>
          </w:p>
        </w:tc>
        <w:tc>
          <w:tcPr>
            <w:tcW w:w="2080" w:type="dxa"/>
            <w:tcBorders>
              <w:top w:val="nil"/>
              <w:left w:val="nil"/>
              <w:bottom w:val="nil"/>
              <w:right w:val="nil"/>
            </w:tcBorders>
            <w:shd w:val="clear" w:color="auto" w:fill="auto"/>
            <w:noWrap/>
            <w:vAlign w:val="bottom"/>
          </w:tcPr>
          <w:p w14:paraId="12555E94"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295.0</w:t>
            </w:r>
          </w:p>
        </w:tc>
        <w:tc>
          <w:tcPr>
            <w:tcW w:w="2080" w:type="dxa"/>
            <w:tcBorders>
              <w:top w:val="nil"/>
              <w:left w:val="nil"/>
              <w:bottom w:val="nil"/>
              <w:right w:val="nil"/>
            </w:tcBorders>
            <w:shd w:val="clear" w:color="auto" w:fill="auto"/>
            <w:noWrap/>
            <w:vAlign w:val="bottom"/>
          </w:tcPr>
          <w:p w14:paraId="701A0C8F"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270 ± 60</w:t>
            </w:r>
          </w:p>
        </w:tc>
      </w:tr>
      <w:tr w:rsidR="00485F92" w:rsidRPr="00FB00CA" w14:paraId="3B0E1FF0" w14:textId="77777777">
        <w:trPr>
          <w:trHeight w:val="260"/>
        </w:trPr>
        <w:tc>
          <w:tcPr>
            <w:tcW w:w="2150" w:type="dxa"/>
            <w:tcBorders>
              <w:top w:val="nil"/>
              <w:left w:val="nil"/>
              <w:bottom w:val="dotted" w:sz="6" w:space="0" w:color="auto"/>
              <w:right w:val="nil"/>
            </w:tcBorders>
            <w:shd w:val="clear" w:color="auto" w:fill="auto"/>
            <w:noWrap/>
            <w:vAlign w:val="bottom"/>
          </w:tcPr>
          <w:p w14:paraId="446660DE" w14:textId="77777777" w:rsidR="00485F92" w:rsidRPr="00FB00CA" w:rsidRDefault="00485F92" w:rsidP="00485F92">
            <w:pPr>
              <w:rPr>
                <w:rFonts w:ascii="Geneva" w:hAnsi="Geneva"/>
                <w:color w:val="000000"/>
                <w:sz w:val="22"/>
                <w:lang w:bidi="x-none"/>
              </w:rPr>
            </w:pPr>
          </w:p>
        </w:tc>
        <w:tc>
          <w:tcPr>
            <w:tcW w:w="1300" w:type="dxa"/>
            <w:tcBorders>
              <w:top w:val="nil"/>
              <w:left w:val="nil"/>
              <w:bottom w:val="dotted" w:sz="6" w:space="0" w:color="auto"/>
              <w:right w:val="nil"/>
            </w:tcBorders>
            <w:shd w:val="clear" w:color="auto" w:fill="auto"/>
            <w:noWrap/>
            <w:vAlign w:val="bottom"/>
          </w:tcPr>
          <w:p w14:paraId="269EEE14" w14:textId="77777777" w:rsidR="00485F92" w:rsidRPr="00FB00CA" w:rsidRDefault="00485F92" w:rsidP="00485F92">
            <w:pPr>
              <w:rPr>
                <w:rFonts w:ascii="Geneva" w:hAnsi="Geneva"/>
                <w:color w:val="000000"/>
                <w:sz w:val="22"/>
                <w:lang w:bidi="x-none"/>
              </w:rPr>
            </w:pPr>
          </w:p>
        </w:tc>
        <w:tc>
          <w:tcPr>
            <w:tcW w:w="2080" w:type="dxa"/>
            <w:tcBorders>
              <w:top w:val="nil"/>
              <w:left w:val="nil"/>
              <w:bottom w:val="dotted" w:sz="6" w:space="0" w:color="auto"/>
              <w:right w:val="nil"/>
            </w:tcBorders>
            <w:shd w:val="clear" w:color="auto" w:fill="auto"/>
            <w:noWrap/>
            <w:vAlign w:val="bottom"/>
          </w:tcPr>
          <w:p w14:paraId="3A204F68"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dotted" w:sz="6" w:space="0" w:color="auto"/>
              <w:right w:val="nil"/>
            </w:tcBorders>
            <w:shd w:val="clear" w:color="auto" w:fill="auto"/>
            <w:noWrap/>
            <w:vAlign w:val="bottom"/>
          </w:tcPr>
          <w:p w14:paraId="04930FF8"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dotted" w:sz="6" w:space="0" w:color="auto"/>
              <w:right w:val="nil"/>
            </w:tcBorders>
            <w:shd w:val="clear" w:color="auto" w:fill="auto"/>
            <w:noWrap/>
            <w:vAlign w:val="bottom"/>
          </w:tcPr>
          <w:p w14:paraId="18D83FA3" w14:textId="77777777" w:rsidR="00485F92" w:rsidRPr="00FB00CA" w:rsidRDefault="00485F92" w:rsidP="00485F92">
            <w:pPr>
              <w:jc w:val="center"/>
              <w:rPr>
                <w:rFonts w:ascii="Geneva" w:hAnsi="Geneva"/>
                <w:color w:val="000000"/>
                <w:sz w:val="22"/>
                <w:lang w:bidi="x-none"/>
              </w:rPr>
            </w:pPr>
          </w:p>
        </w:tc>
      </w:tr>
      <w:tr w:rsidR="00485F92" w:rsidRPr="00FB00CA" w14:paraId="65F1E398" w14:textId="77777777">
        <w:trPr>
          <w:trHeight w:val="280"/>
        </w:trPr>
        <w:tc>
          <w:tcPr>
            <w:tcW w:w="3450" w:type="dxa"/>
            <w:gridSpan w:val="2"/>
            <w:tcBorders>
              <w:top w:val="dotted" w:sz="6" w:space="0" w:color="auto"/>
              <w:left w:val="nil"/>
              <w:right w:val="nil"/>
            </w:tcBorders>
            <w:shd w:val="clear" w:color="auto" w:fill="auto"/>
            <w:noWrap/>
            <w:vAlign w:val="bottom"/>
          </w:tcPr>
          <w:p w14:paraId="27EC1E38" w14:textId="77777777" w:rsidR="00485F92" w:rsidRPr="00FB00CA" w:rsidRDefault="00485F92" w:rsidP="00485F92">
            <w:pPr>
              <w:rPr>
                <w:rFonts w:ascii="Geneva" w:hAnsi="Geneva"/>
                <w:b/>
                <w:color w:val="000000"/>
                <w:sz w:val="22"/>
                <w:lang w:bidi="x-none"/>
              </w:rPr>
            </w:pPr>
            <w:r w:rsidRPr="00FB00CA">
              <w:rPr>
                <w:rFonts w:ascii="Arial" w:hAnsi="Arial"/>
                <w:b/>
                <w:color w:val="000000"/>
                <w:sz w:val="22"/>
                <w:lang w:bidi="x-none"/>
              </w:rPr>
              <w:t>Amphipod MeHg QA</w:t>
            </w:r>
          </w:p>
        </w:tc>
        <w:tc>
          <w:tcPr>
            <w:tcW w:w="2080" w:type="dxa"/>
            <w:tcBorders>
              <w:top w:val="dotted" w:sz="6" w:space="0" w:color="auto"/>
              <w:left w:val="nil"/>
              <w:right w:val="nil"/>
            </w:tcBorders>
            <w:shd w:val="clear" w:color="auto" w:fill="auto"/>
            <w:noWrap/>
            <w:vAlign w:val="bottom"/>
          </w:tcPr>
          <w:p w14:paraId="285010A1"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n</w:t>
            </w:r>
          </w:p>
        </w:tc>
        <w:tc>
          <w:tcPr>
            <w:tcW w:w="2080" w:type="dxa"/>
            <w:tcBorders>
              <w:top w:val="dotted" w:sz="6" w:space="0" w:color="auto"/>
              <w:left w:val="nil"/>
              <w:right w:val="nil"/>
            </w:tcBorders>
            <w:shd w:val="clear" w:color="auto" w:fill="auto"/>
            <w:noWrap/>
            <w:vAlign w:val="bottom"/>
          </w:tcPr>
          <w:p w14:paraId="229AB281"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Mean</w:t>
            </w:r>
          </w:p>
        </w:tc>
        <w:tc>
          <w:tcPr>
            <w:tcW w:w="2080" w:type="dxa"/>
            <w:tcBorders>
              <w:top w:val="dotted" w:sz="6" w:space="0" w:color="auto"/>
              <w:left w:val="nil"/>
              <w:right w:val="nil"/>
            </w:tcBorders>
            <w:shd w:val="clear" w:color="auto" w:fill="auto"/>
            <w:noWrap/>
            <w:vAlign w:val="bottom"/>
          </w:tcPr>
          <w:p w14:paraId="23BEB351" w14:textId="77777777" w:rsidR="00485F92" w:rsidRPr="00FB00CA" w:rsidRDefault="00485F92" w:rsidP="00485F92">
            <w:pPr>
              <w:jc w:val="center"/>
              <w:rPr>
                <w:rFonts w:ascii="Geneva" w:hAnsi="Geneva"/>
                <w:b/>
                <w:color w:val="000000"/>
                <w:sz w:val="22"/>
                <w:lang w:bidi="x-none"/>
              </w:rPr>
            </w:pPr>
            <w:r w:rsidRPr="00FB00CA">
              <w:rPr>
                <w:rFonts w:ascii="Arial" w:hAnsi="Arial"/>
                <w:b/>
                <w:color w:val="000000"/>
                <w:sz w:val="22"/>
                <w:lang w:bidi="x-none"/>
              </w:rPr>
              <w:t>Cert. Range</w:t>
            </w:r>
          </w:p>
        </w:tc>
      </w:tr>
      <w:tr w:rsidR="00485F92" w:rsidRPr="00FB00CA" w14:paraId="5599E4D3" w14:textId="77777777">
        <w:trPr>
          <w:trHeight w:val="260"/>
        </w:trPr>
        <w:tc>
          <w:tcPr>
            <w:tcW w:w="3450" w:type="dxa"/>
            <w:gridSpan w:val="2"/>
            <w:tcBorders>
              <w:left w:val="nil"/>
              <w:bottom w:val="nil"/>
              <w:right w:val="nil"/>
            </w:tcBorders>
            <w:shd w:val="clear" w:color="auto" w:fill="auto"/>
            <w:noWrap/>
            <w:vAlign w:val="bottom"/>
          </w:tcPr>
          <w:p w14:paraId="0BB52EC4"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xml:space="preserve">Detection Limit (ng/g </w:t>
            </w:r>
            <w:proofErr w:type="spellStart"/>
            <w:r w:rsidRPr="00FB00CA">
              <w:rPr>
                <w:rFonts w:ascii="Arial" w:hAnsi="Arial"/>
                <w:color w:val="000000"/>
                <w:sz w:val="22"/>
                <w:lang w:bidi="x-none"/>
              </w:rPr>
              <w:t>dw</w:t>
            </w:r>
            <w:proofErr w:type="spellEnd"/>
            <w:r w:rsidRPr="00FB00CA">
              <w:rPr>
                <w:rFonts w:ascii="Arial" w:hAnsi="Arial"/>
                <w:color w:val="000000"/>
                <w:sz w:val="22"/>
                <w:lang w:bidi="x-none"/>
              </w:rPr>
              <w:t>)</w:t>
            </w:r>
          </w:p>
        </w:tc>
        <w:tc>
          <w:tcPr>
            <w:tcW w:w="2080" w:type="dxa"/>
            <w:tcBorders>
              <w:left w:val="nil"/>
              <w:bottom w:val="nil"/>
              <w:right w:val="nil"/>
            </w:tcBorders>
            <w:shd w:val="clear" w:color="auto" w:fill="auto"/>
            <w:noWrap/>
            <w:vAlign w:val="bottom"/>
          </w:tcPr>
          <w:p w14:paraId="40CFC1F0"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2</w:t>
            </w:r>
          </w:p>
        </w:tc>
        <w:tc>
          <w:tcPr>
            <w:tcW w:w="2080" w:type="dxa"/>
            <w:tcBorders>
              <w:left w:val="nil"/>
              <w:bottom w:val="nil"/>
              <w:right w:val="nil"/>
            </w:tcBorders>
            <w:shd w:val="clear" w:color="auto" w:fill="auto"/>
            <w:noWrap/>
            <w:vAlign w:val="bottom"/>
          </w:tcPr>
          <w:p w14:paraId="7D4FD885"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1.1</w:t>
            </w:r>
          </w:p>
        </w:tc>
        <w:tc>
          <w:tcPr>
            <w:tcW w:w="2080" w:type="dxa"/>
            <w:tcBorders>
              <w:left w:val="nil"/>
              <w:bottom w:val="nil"/>
              <w:right w:val="nil"/>
            </w:tcBorders>
            <w:shd w:val="clear" w:color="auto" w:fill="auto"/>
            <w:noWrap/>
            <w:vAlign w:val="bottom"/>
          </w:tcPr>
          <w:p w14:paraId="7B325954" w14:textId="77777777" w:rsidR="00485F92" w:rsidRPr="00FB00CA" w:rsidRDefault="00485F92" w:rsidP="00485F92">
            <w:pPr>
              <w:jc w:val="center"/>
              <w:rPr>
                <w:rFonts w:ascii="Geneva" w:hAnsi="Geneva"/>
                <w:color w:val="000000"/>
                <w:sz w:val="22"/>
                <w:lang w:bidi="x-none"/>
              </w:rPr>
            </w:pPr>
          </w:p>
        </w:tc>
      </w:tr>
      <w:tr w:rsidR="00485F92" w:rsidRPr="00FB00CA" w14:paraId="16E71A54" w14:textId="77777777">
        <w:trPr>
          <w:trHeight w:val="260"/>
        </w:trPr>
        <w:tc>
          <w:tcPr>
            <w:tcW w:w="3450" w:type="dxa"/>
            <w:gridSpan w:val="2"/>
            <w:tcBorders>
              <w:top w:val="nil"/>
              <w:left w:val="nil"/>
              <w:bottom w:val="nil"/>
              <w:right w:val="nil"/>
            </w:tcBorders>
            <w:shd w:val="clear" w:color="auto" w:fill="auto"/>
            <w:noWrap/>
            <w:vAlign w:val="bottom"/>
          </w:tcPr>
          <w:p w14:paraId="0BEC4F7E"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Recovery on spiked samples</w:t>
            </w:r>
          </w:p>
        </w:tc>
        <w:tc>
          <w:tcPr>
            <w:tcW w:w="2080" w:type="dxa"/>
            <w:tcBorders>
              <w:top w:val="nil"/>
              <w:left w:val="nil"/>
              <w:bottom w:val="nil"/>
              <w:right w:val="nil"/>
            </w:tcBorders>
            <w:shd w:val="clear" w:color="auto" w:fill="auto"/>
            <w:noWrap/>
            <w:vAlign w:val="bottom"/>
          </w:tcPr>
          <w:p w14:paraId="03B24A47"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2</w:t>
            </w:r>
          </w:p>
        </w:tc>
        <w:tc>
          <w:tcPr>
            <w:tcW w:w="2080" w:type="dxa"/>
            <w:tcBorders>
              <w:top w:val="nil"/>
              <w:left w:val="nil"/>
              <w:bottom w:val="nil"/>
              <w:right w:val="nil"/>
            </w:tcBorders>
            <w:shd w:val="clear" w:color="auto" w:fill="auto"/>
            <w:noWrap/>
            <w:vAlign w:val="bottom"/>
          </w:tcPr>
          <w:p w14:paraId="69D82D6E"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102.5</w:t>
            </w:r>
          </w:p>
        </w:tc>
        <w:tc>
          <w:tcPr>
            <w:tcW w:w="2080" w:type="dxa"/>
            <w:tcBorders>
              <w:top w:val="nil"/>
              <w:left w:val="nil"/>
              <w:bottom w:val="nil"/>
              <w:right w:val="nil"/>
            </w:tcBorders>
            <w:shd w:val="clear" w:color="auto" w:fill="auto"/>
            <w:noWrap/>
            <w:vAlign w:val="bottom"/>
          </w:tcPr>
          <w:p w14:paraId="2553B22C" w14:textId="77777777" w:rsidR="00485F92" w:rsidRPr="00FB00CA" w:rsidRDefault="00485F92" w:rsidP="00485F92">
            <w:pPr>
              <w:jc w:val="center"/>
              <w:rPr>
                <w:rFonts w:ascii="Geneva" w:hAnsi="Geneva"/>
                <w:color w:val="000000"/>
                <w:sz w:val="22"/>
                <w:lang w:bidi="x-none"/>
              </w:rPr>
            </w:pPr>
          </w:p>
        </w:tc>
      </w:tr>
      <w:tr w:rsidR="00485F92" w:rsidRPr="00FB00CA" w14:paraId="2A002CEA" w14:textId="77777777">
        <w:trPr>
          <w:trHeight w:val="260"/>
        </w:trPr>
        <w:tc>
          <w:tcPr>
            <w:tcW w:w="2150" w:type="dxa"/>
            <w:tcBorders>
              <w:top w:val="nil"/>
              <w:left w:val="nil"/>
              <w:bottom w:val="nil"/>
              <w:right w:val="nil"/>
            </w:tcBorders>
            <w:shd w:val="clear" w:color="auto" w:fill="auto"/>
            <w:noWrap/>
            <w:vAlign w:val="bottom"/>
          </w:tcPr>
          <w:p w14:paraId="3AE9C1E9"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 CV on Triplicates</w:t>
            </w:r>
          </w:p>
        </w:tc>
        <w:tc>
          <w:tcPr>
            <w:tcW w:w="1300" w:type="dxa"/>
            <w:tcBorders>
              <w:top w:val="nil"/>
              <w:left w:val="nil"/>
              <w:bottom w:val="nil"/>
              <w:right w:val="nil"/>
            </w:tcBorders>
            <w:shd w:val="clear" w:color="auto" w:fill="auto"/>
            <w:noWrap/>
            <w:vAlign w:val="bottom"/>
          </w:tcPr>
          <w:p w14:paraId="34C0E6BB" w14:textId="77777777" w:rsidR="00485F92" w:rsidRPr="00FB00CA" w:rsidRDefault="00485F92" w:rsidP="00485F92">
            <w:pPr>
              <w:rPr>
                <w:rFonts w:ascii="Geneva" w:hAnsi="Geneva"/>
                <w:color w:val="000000"/>
                <w:sz w:val="22"/>
                <w:lang w:bidi="x-none"/>
              </w:rPr>
            </w:pPr>
          </w:p>
        </w:tc>
        <w:tc>
          <w:tcPr>
            <w:tcW w:w="2080" w:type="dxa"/>
            <w:tcBorders>
              <w:top w:val="nil"/>
              <w:left w:val="nil"/>
              <w:bottom w:val="nil"/>
              <w:right w:val="nil"/>
            </w:tcBorders>
            <w:shd w:val="clear" w:color="auto" w:fill="auto"/>
            <w:noWrap/>
            <w:vAlign w:val="bottom"/>
          </w:tcPr>
          <w:p w14:paraId="67605AAA"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5</w:t>
            </w:r>
          </w:p>
        </w:tc>
        <w:tc>
          <w:tcPr>
            <w:tcW w:w="2080" w:type="dxa"/>
            <w:tcBorders>
              <w:top w:val="nil"/>
              <w:left w:val="nil"/>
              <w:bottom w:val="nil"/>
              <w:right w:val="nil"/>
            </w:tcBorders>
            <w:shd w:val="clear" w:color="auto" w:fill="auto"/>
            <w:noWrap/>
            <w:vAlign w:val="bottom"/>
          </w:tcPr>
          <w:p w14:paraId="76831794"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9.8</w:t>
            </w:r>
          </w:p>
        </w:tc>
        <w:tc>
          <w:tcPr>
            <w:tcW w:w="2080" w:type="dxa"/>
            <w:tcBorders>
              <w:top w:val="nil"/>
              <w:left w:val="nil"/>
              <w:bottom w:val="nil"/>
              <w:right w:val="nil"/>
            </w:tcBorders>
            <w:shd w:val="clear" w:color="auto" w:fill="auto"/>
            <w:noWrap/>
            <w:vAlign w:val="bottom"/>
          </w:tcPr>
          <w:p w14:paraId="1E2C7138" w14:textId="77777777" w:rsidR="00485F92" w:rsidRPr="00FB00CA" w:rsidRDefault="00485F92" w:rsidP="00485F92">
            <w:pPr>
              <w:jc w:val="center"/>
              <w:rPr>
                <w:rFonts w:ascii="Geneva" w:hAnsi="Geneva"/>
                <w:color w:val="000000"/>
                <w:sz w:val="22"/>
                <w:lang w:bidi="x-none"/>
              </w:rPr>
            </w:pPr>
          </w:p>
        </w:tc>
      </w:tr>
      <w:tr w:rsidR="00485F92" w:rsidRPr="00FB00CA" w14:paraId="3E687D51" w14:textId="77777777">
        <w:trPr>
          <w:trHeight w:val="260"/>
        </w:trPr>
        <w:tc>
          <w:tcPr>
            <w:tcW w:w="3450" w:type="dxa"/>
            <w:gridSpan w:val="2"/>
            <w:tcBorders>
              <w:top w:val="nil"/>
              <w:left w:val="nil"/>
              <w:bottom w:val="nil"/>
              <w:right w:val="nil"/>
            </w:tcBorders>
            <w:shd w:val="clear" w:color="auto" w:fill="auto"/>
            <w:noWrap/>
            <w:vAlign w:val="bottom"/>
          </w:tcPr>
          <w:p w14:paraId="63C7CFFE"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Standard Reference Materials</w:t>
            </w:r>
          </w:p>
        </w:tc>
        <w:tc>
          <w:tcPr>
            <w:tcW w:w="2080" w:type="dxa"/>
            <w:tcBorders>
              <w:top w:val="nil"/>
              <w:left w:val="nil"/>
              <w:bottom w:val="nil"/>
              <w:right w:val="nil"/>
            </w:tcBorders>
            <w:shd w:val="clear" w:color="auto" w:fill="auto"/>
            <w:noWrap/>
            <w:vAlign w:val="bottom"/>
          </w:tcPr>
          <w:p w14:paraId="03832BF4"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nil"/>
              <w:right w:val="nil"/>
            </w:tcBorders>
            <w:shd w:val="clear" w:color="auto" w:fill="auto"/>
            <w:noWrap/>
            <w:vAlign w:val="bottom"/>
          </w:tcPr>
          <w:p w14:paraId="5A39D999" w14:textId="77777777" w:rsidR="00485F92" w:rsidRPr="00FB00CA" w:rsidRDefault="00485F92" w:rsidP="00485F92">
            <w:pPr>
              <w:jc w:val="center"/>
              <w:rPr>
                <w:rFonts w:ascii="Geneva" w:hAnsi="Geneva"/>
                <w:color w:val="000000"/>
                <w:sz w:val="22"/>
                <w:lang w:bidi="x-none"/>
              </w:rPr>
            </w:pPr>
          </w:p>
        </w:tc>
        <w:tc>
          <w:tcPr>
            <w:tcW w:w="2080" w:type="dxa"/>
            <w:tcBorders>
              <w:top w:val="nil"/>
              <w:left w:val="nil"/>
              <w:bottom w:val="nil"/>
              <w:right w:val="nil"/>
            </w:tcBorders>
            <w:shd w:val="clear" w:color="auto" w:fill="auto"/>
            <w:noWrap/>
            <w:vAlign w:val="bottom"/>
          </w:tcPr>
          <w:p w14:paraId="785DB7FE" w14:textId="77777777" w:rsidR="00485F92" w:rsidRPr="00FB00CA" w:rsidRDefault="00485F92" w:rsidP="00485F92">
            <w:pPr>
              <w:jc w:val="center"/>
              <w:rPr>
                <w:rFonts w:ascii="Geneva" w:hAnsi="Geneva"/>
                <w:color w:val="000000"/>
                <w:sz w:val="22"/>
                <w:lang w:bidi="x-none"/>
              </w:rPr>
            </w:pPr>
          </w:p>
        </w:tc>
      </w:tr>
      <w:tr w:rsidR="00485F92" w:rsidRPr="00FB00CA" w14:paraId="16386FC8" w14:textId="77777777">
        <w:trPr>
          <w:trHeight w:val="260"/>
        </w:trPr>
        <w:tc>
          <w:tcPr>
            <w:tcW w:w="2150" w:type="dxa"/>
            <w:tcBorders>
              <w:top w:val="nil"/>
              <w:left w:val="nil"/>
              <w:right w:val="nil"/>
            </w:tcBorders>
            <w:shd w:val="clear" w:color="auto" w:fill="auto"/>
            <w:noWrap/>
            <w:vAlign w:val="bottom"/>
          </w:tcPr>
          <w:p w14:paraId="499C5196" w14:textId="77777777" w:rsidR="00485F92" w:rsidRPr="00FB00CA" w:rsidRDefault="00485F92" w:rsidP="00485F92">
            <w:pPr>
              <w:jc w:val="right"/>
              <w:rPr>
                <w:rFonts w:ascii="Geneva" w:hAnsi="Geneva"/>
                <w:color w:val="000000"/>
                <w:sz w:val="22"/>
                <w:lang w:bidi="x-none"/>
              </w:rPr>
            </w:pPr>
            <w:r w:rsidRPr="00FB00CA">
              <w:rPr>
                <w:rFonts w:ascii="Arial" w:hAnsi="Arial"/>
                <w:color w:val="000000"/>
                <w:sz w:val="22"/>
                <w:lang w:bidi="x-none"/>
              </w:rPr>
              <w:t xml:space="preserve">ng/g </w:t>
            </w:r>
            <w:proofErr w:type="spellStart"/>
            <w:r w:rsidRPr="00FB00CA">
              <w:rPr>
                <w:rFonts w:ascii="Arial" w:hAnsi="Arial"/>
                <w:color w:val="000000"/>
                <w:sz w:val="22"/>
                <w:lang w:bidi="x-none"/>
              </w:rPr>
              <w:t>dw</w:t>
            </w:r>
            <w:proofErr w:type="spellEnd"/>
          </w:p>
        </w:tc>
        <w:tc>
          <w:tcPr>
            <w:tcW w:w="1300" w:type="dxa"/>
            <w:tcBorders>
              <w:top w:val="nil"/>
              <w:left w:val="nil"/>
              <w:right w:val="nil"/>
            </w:tcBorders>
            <w:shd w:val="clear" w:color="auto" w:fill="auto"/>
            <w:noWrap/>
            <w:vAlign w:val="bottom"/>
          </w:tcPr>
          <w:p w14:paraId="0CF2B413" w14:textId="77777777" w:rsidR="00485F92" w:rsidRPr="00FB00CA" w:rsidRDefault="00485F92" w:rsidP="00485F92">
            <w:pPr>
              <w:rPr>
                <w:rFonts w:ascii="Geneva" w:hAnsi="Geneva"/>
                <w:color w:val="000000"/>
                <w:sz w:val="22"/>
                <w:lang w:bidi="x-none"/>
              </w:rPr>
            </w:pPr>
            <w:r w:rsidRPr="00FB00CA">
              <w:rPr>
                <w:rFonts w:ascii="Arial" w:hAnsi="Arial"/>
                <w:color w:val="000000"/>
                <w:sz w:val="22"/>
                <w:lang w:bidi="x-none"/>
              </w:rPr>
              <w:t>MUSS 2976</w:t>
            </w:r>
          </w:p>
        </w:tc>
        <w:tc>
          <w:tcPr>
            <w:tcW w:w="2080" w:type="dxa"/>
            <w:tcBorders>
              <w:top w:val="nil"/>
              <w:left w:val="nil"/>
              <w:right w:val="nil"/>
            </w:tcBorders>
            <w:shd w:val="clear" w:color="auto" w:fill="auto"/>
            <w:noWrap/>
            <w:vAlign w:val="bottom"/>
          </w:tcPr>
          <w:p w14:paraId="55F2E271"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6</w:t>
            </w:r>
          </w:p>
        </w:tc>
        <w:tc>
          <w:tcPr>
            <w:tcW w:w="2080" w:type="dxa"/>
            <w:tcBorders>
              <w:top w:val="nil"/>
              <w:left w:val="nil"/>
              <w:right w:val="nil"/>
            </w:tcBorders>
            <w:shd w:val="clear" w:color="auto" w:fill="auto"/>
            <w:noWrap/>
            <w:vAlign w:val="bottom"/>
          </w:tcPr>
          <w:p w14:paraId="61E5E2F7"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24.6</w:t>
            </w:r>
          </w:p>
        </w:tc>
        <w:tc>
          <w:tcPr>
            <w:tcW w:w="2080" w:type="dxa"/>
            <w:tcBorders>
              <w:top w:val="nil"/>
              <w:left w:val="nil"/>
              <w:right w:val="nil"/>
            </w:tcBorders>
            <w:shd w:val="clear" w:color="auto" w:fill="auto"/>
            <w:noWrap/>
            <w:vAlign w:val="bottom"/>
          </w:tcPr>
          <w:p w14:paraId="4B40F65F"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27.8 ± 1.1</w:t>
            </w:r>
          </w:p>
        </w:tc>
      </w:tr>
      <w:tr w:rsidR="00485F92" w:rsidRPr="00FB00CA" w14:paraId="0CAFBB9E" w14:textId="77777777">
        <w:trPr>
          <w:trHeight w:val="260"/>
        </w:trPr>
        <w:tc>
          <w:tcPr>
            <w:tcW w:w="2150" w:type="dxa"/>
            <w:tcBorders>
              <w:top w:val="nil"/>
              <w:left w:val="nil"/>
              <w:bottom w:val="single" w:sz="6" w:space="0" w:color="auto"/>
              <w:right w:val="nil"/>
            </w:tcBorders>
            <w:shd w:val="clear" w:color="auto" w:fill="auto"/>
            <w:noWrap/>
            <w:vAlign w:val="bottom"/>
          </w:tcPr>
          <w:p w14:paraId="0E251A42" w14:textId="77777777" w:rsidR="00485F92" w:rsidRPr="00FB00CA" w:rsidRDefault="00485F92" w:rsidP="00485F92">
            <w:pPr>
              <w:spacing w:after="120"/>
              <w:jc w:val="right"/>
              <w:rPr>
                <w:rFonts w:ascii="Geneva" w:hAnsi="Geneva"/>
                <w:color w:val="000000"/>
                <w:sz w:val="22"/>
                <w:lang w:bidi="x-none"/>
              </w:rPr>
            </w:pPr>
            <w:r w:rsidRPr="00FB00CA">
              <w:rPr>
                <w:rFonts w:ascii="Arial" w:hAnsi="Arial"/>
                <w:color w:val="000000"/>
                <w:sz w:val="22"/>
                <w:lang w:bidi="x-none"/>
              </w:rPr>
              <w:t xml:space="preserve">ng/g </w:t>
            </w:r>
            <w:proofErr w:type="spellStart"/>
            <w:r w:rsidRPr="00FB00CA">
              <w:rPr>
                <w:rFonts w:ascii="Arial" w:hAnsi="Arial"/>
                <w:color w:val="000000"/>
                <w:sz w:val="22"/>
                <w:lang w:bidi="x-none"/>
              </w:rPr>
              <w:t>dw</w:t>
            </w:r>
            <w:proofErr w:type="spellEnd"/>
          </w:p>
        </w:tc>
        <w:tc>
          <w:tcPr>
            <w:tcW w:w="1300" w:type="dxa"/>
            <w:tcBorders>
              <w:top w:val="nil"/>
              <w:left w:val="nil"/>
              <w:bottom w:val="single" w:sz="6" w:space="0" w:color="auto"/>
              <w:right w:val="nil"/>
            </w:tcBorders>
            <w:shd w:val="clear" w:color="auto" w:fill="auto"/>
            <w:noWrap/>
            <w:vAlign w:val="bottom"/>
          </w:tcPr>
          <w:p w14:paraId="406D1E35" w14:textId="77777777" w:rsidR="00485F92" w:rsidRPr="00FB00CA" w:rsidRDefault="00485F92" w:rsidP="00485F92">
            <w:pPr>
              <w:spacing w:after="120"/>
              <w:rPr>
                <w:rFonts w:ascii="Geneva" w:hAnsi="Geneva"/>
                <w:color w:val="000000"/>
                <w:sz w:val="22"/>
                <w:lang w:bidi="x-none"/>
              </w:rPr>
            </w:pPr>
            <w:r w:rsidRPr="00FB00CA">
              <w:rPr>
                <w:rFonts w:ascii="Arial" w:hAnsi="Arial"/>
                <w:color w:val="000000"/>
                <w:sz w:val="22"/>
                <w:lang w:bidi="x-none"/>
              </w:rPr>
              <w:t>TORT-2</w:t>
            </w:r>
          </w:p>
        </w:tc>
        <w:tc>
          <w:tcPr>
            <w:tcW w:w="2080" w:type="dxa"/>
            <w:tcBorders>
              <w:top w:val="nil"/>
              <w:left w:val="nil"/>
              <w:bottom w:val="single" w:sz="6" w:space="0" w:color="auto"/>
              <w:right w:val="nil"/>
            </w:tcBorders>
            <w:shd w:val="clear" w:color="auto" w:fill="auto"/>
            <w:noWrap/>
            <w:vAlign w:val="bottom"/>
          </w:tcPr>
          <w:p w14:paraId="352CB4FD" w14:textId="77777777" w:rsidR="00485F92" w:rsidRPr="00FB00CA" w:rsidRDefault="00485F92" w:rsidP="00485F92">
            <w:pPr>
              <w:spacing w:after="120"/>
              <w:jc w:val="center"/>
              <w:rPr>
                <w:rFonts w:ascii="Geneva" w:hAnsi="Geneva"/>
                <w:color w:val="000000"/>
                <w:sz w:val="22"/>
                <w:lang w:bidi="x-none"/>
              </w:rPr>
            </w:pPr>
            <w:r w:rsidRPr="00FB00CA">
              <w:rPr>
                <w:rFonts w:ascii="Arial" w:hAnsi="Arial"/>
                <w:color w:val="000000"/>
                <w:sz w:val="22"/>
                <w:lang w:bidi="x-none"/>
              </w:rPr>
              <w:t>6</w:t>
            </w:r>
          </w:p>
        </w:tc>
        <w:tc>
          <w:tcPr>
            <w:tcW w:w="2080" w:type="dxa"/>
            <w:tcBorders>
              <w:top w:val="nil"/>
              <w:left w:val="nil"/>
              <w:bottom w:val="single" w:sz="6" w:space="0" w:color="auto"/>
              <w:right w:val="nil"/>
            </w:tcBorders>
            <w:shd w:val="clear" w:color="auto" w:fill="auto"/>
            <w:noWrap/>
            <w:vAlign w:val="bottom"/>
          </w:tcPr>
          <w:p w14:paraId="0F2830AB" w14:textId="77777777" w:rsidR="00485F92" w:rsidRPr="00FB00CA" w:rsidRDefault="00485F92" w:rsidP="00485F92">
            <w:pPr>
              <w:spacing w:after="120"/>
              <w:jc w:val="center"/>
              <w:rPr>
                <w:rFonts w:ascii="Geneva" w:hAnsi="Geneva"/>
                <w:color w:val="000000"/>
                <w:sz w:val="22"/>
                <w:lang w:bidi="x-none"/>
              </w:rPr>
            </w:pPr>
            <w:r w:rsidRPr="00FB00CA">
              <w:rPr>
                <w:rFonts w:ascii="Arial" w:hAnsi="Arial"/>
                <w:color w:val="000000"/>
                <w:sz w:val="22"/>
                <w:lang w:bidi="x-none"/>
              </w:rPr>
              <w:t>148.6</w:t>
            </w:r>
          </w:p>
        </w:tc>
        <w:tc>
          <w:tcPr>
            <w:tcW w:w="2080" w:type="dxa"/>
            <w:tcBorders>
              <w:top w:val="nil"/>
              <w:left w:val="nil"/>
              <w:bottom w:val="single" w:sz="6" w:space="0" w:color="auto"/>
              <w:right w:val="nil"/>
            </w:tcBorders>
            <w:shd w:val="clear" w:color="auto" w:fill="auto"/>
            <w:noWrap/>
            <w:vAlign w:val="bottom"/>
          </w:tcPr>
          <w:p w14:paraId="13DFD309" w14:textId="77777777" w:rsidR="00485F92" w:rsidRPr="00FB00CA" w:rsidRDefault="00485F92" w:rsidP="00485F92">
            <w:pPr>
              <w:spacing w:after="120"/>
              <w:jc w:val="center"/>
              <w:rPr>
                <w:rFonts w:ascii="Geneva" w:hAnsi="Geneva"/>
                <w:color w:val="000000"/>
                <w:sz w:val="22"/>
                <w:lang w:bidi="x-none"/>
              </w:rPr>
            </w:pPr>
            <w:r w:rsidRPr="00FB00CA">
              <w:rPr>
                <w:rFonts w:ascii="Arial" w:hAnsi="Arial"/>
                <w:color w:val="000000"/>
                <w:sz w:val="22"/>
                <w:lang w:bidi="x-none"/>
              </w:rPr>
              <w:t>152 ± 13</w:t>
            </w:r>
          </w:p>
        </w:tc>
      </w:tr>
    </w:tbl>
    <w:p w14:paraId="4CBD4A7B" w14:textId="77777777" w:rsidR="00485F92" w:rsidRDefault="00485F92" w:rsidP="00485F92">
      <w:pPr>
        <w:ind w:left="720" w:hanging="720"/>
      </w:pPr>
    </w:p>
    <w:p w14:paraId="14DF1F5C" w14:textId="77777777" w:rsidR="00485F92" w:rsidRDefault="00485F92" w:rsidP="00485F92">
      <w:pPr>
        <w:ind w:left="720" w:hanging="720"/>
      </w:pPr>
      <w:r>
        <w:br w:type="page"/>
      </w:r>
      <w:r>
        <w:lastRenderedPageBreak/>
        <w:t>Table 2. Average water quality conditions in Headquarters Pool (control) and Agassiz Pool (drawdown) during summer sampling, 2009-2011.</w:t>
      </w:r>
    </w:p>
    <w:p w14:paraId="4EC2DB9F" w14:textId="77777777" w:rsidR="00485F92" w:rsidRDefault="00485F92" w:rsidP="00485F92">
      <w:pPr>
        <w:ind w:left="720" w:hanging="720"/>
      </w:pPr>
    </w:p>
    <w:tbl>
      <w:tblPr>
        <w:tblW w:w="9720" w:type="dxa"/>
        <w:tblInd w:w="88" w:type="dxa"/>
        <w:tblLook w:val="0000" w:firstRow="0" w:lastRow="0" w:firstColumn="0" w:lastColumn="0" w:noHBand="0" w:noVBand="0"/>
      </w:tblPr>
      <w:tblGrid>
        <w:gridCol w:w="1860"/>
        <w:gridCol w:w="1860"/>
        <w:gridCol w:w="1500"/>
        <w:gridCol w:w="1500"/>
        <w:gridCol w:w="1500"/>
        <w:gridCol w:w="1500"/>
      </w:tblGrid>
      <w:tr w:rsidR="00485F92" w:rsidRPr="00FB00CA" w14:paraId="44B543C8" w14:textId="77777777">
        <w:trPr>
          <w:trHeight w:val="260"/>
        </w:trPr>
        <w:tc>
          <w:tcPr>
            <w:tcW w:w="1860" w:type="dxa"/>
            <w:tcBorders>
              <w:top w:val="single" w:sz="6" w:space="0" w:color="auto"/>
              <w:left w:val="nil"/>
              <w:right w:val="nil"/>
            </w:tcBorders>
            <w:shd w:val="clear" w:color="auto" w:fill="auto"/>
            <w:vAlign w:val="bottom"/>
          </w:tcPr>
          <w:p w14:paraId="24703C61" w14:textId="77777777" w:rsidR="00485F92" w:rsidRPr="00FB00CA" w:rsidRDefault="00485F92" w:rsidP="00485F92">
            <w:pPr>
              <w:spacing w:before="60"/>
              <w:jc w:val="center"/>
              <w:rPr>
                <w:rFonts w:ascii="Geneva" w:hAnsi="Geneva"/>
                <w:sz w:val="22"/>
                <w:lang w:bidi="x-none"/>
              </w:rPr>
            </w:pPr>
          </w:p>
        </w:tc>
        <w:tc>
          <w:tcPr>
            <w:tcW w:w="1860" w:type="dxa"/>
            <w:tcBorders>
              <w:top w:val="single" w:sz="6" w:space="0" w:color="auto"/>
              <w:left w:val="nil"/>
              <w:right w:val="nil"/>
            </w:tcBorders>
            <w:shd w:val="clear" w:color="auto" w:fill="auto"/>
            <w:vAlign w:val="bottom"/>
          </w:tcPr>
          <w:p w14:paraId="00C91202" w14:textId="77777777" w:rsidR="00485F92" w:rsidRPr="00FB00CA" w:rsidRDefault="00485F92" w:rsidP="00485F92">
            <w:pPr>
              <w:spacing w:before="60"/>
              <w:jc w:val="center"/>
              <w:rPr>
                <w:rFonts w:ascii="Geneva" w:hAnsi="Geneva"/>
                <w:sz w:val="22"/>
                <w:lang w:bidi="x-none"/>
              </w:rPr>
            </w:pPr>
          </w:p>
        </w:tc>
        <w:tc>
          <w:tcPr>
            <w:tcW w:w="3000" w:type="dxa"/>
            <w:gridSpan w:val="2"/>
            <w:tcBorders>
              <w:top w:val="single" w:sz="6" w:space="0" w:color="auto"/>
              <w:left w:val="nil"/>
              <w:right w:val="nil"/>
            </w:tcBorders>
            <w:shd w:val="clear" w:color="auto" w:fill="auto"/>
            <w:noWrap/>
            <w:vAlign w:val="bottom"/>
          </w:tcPr>
          <w:p w14:paraId="3CC4961E" w14:textId="77777777" w:rsidR="00485F92" w:rsidRPr="00FB00CA" w:rsidRDefault="00485F92" w:rsidP="00485F92">
            <w:pPr>
              <w:spacing w:before="60"/>
              <w:jc w:val="center"/>
              <w:rPr>
                <w:rFonts w:ascii="Geneva" w:hAnsi="Geneva"/>
                <w:sz w:val="22"/>
                <w:lang w:bidi="x-none"/>
              </w:rPr>
            </w:pPr>
            <w:r w:rsidRPr="00FB00CA">
              <w:rPr>
                <w:rFonts w:ascii="Arial" w:hAnsi="Arial"/>
                <w:sz w:val="22"/>
                <w:lang w:bidi="x-none"/>
              </w:rPr>
              <w:t>Headquarters</w:t>
            </w:r>
          </w:p>
        </w:tc>
        <w:tc>
          <w:tcPr>
            <w:tcW w:w="3000" w:type="dxa"/>
            <w:gridSpan w:val="2"/>
            <w:tcBorders>
              <w:top w:val="single" w:sz="6" w:space="0" w:color="auto"/>
              <w:left w:val="nil"/>
              <w:right w:val="nil"/>
            </w:tcBorders>
            <w:shd w:val="clear" w:color="auto" w:fill="auto"/>
            <w:noWrap/>
            <w:vAlign w:val="bottom"/>
          </w:tcPr>
          <w:p w14:paraId="5CBFCA00" w14:textId="77777777" w:rsidR="00485F92" w:rsidRPr="00FB00CA" w:rsidRDefault="00485F92" w:rsidP="00485F92">
            <w:pPr>
              <w:spacing w:before="60"/>
              <w:jc w:val="center"/>
              <w:rPr>
                <w:rFonts w:ascii="Geneva" w:hAnsi="Geneva"/>
                <w:sz w:val="22"/>
                <w:lang w:bidi="x-none"/>
              </w:rPr>
            </w:pPr>
            <w:r w:rsidRPr="00FB00CA">
              <w:rPr>
                <w:rFonts w:ascii="Arial" w:hAnsi="Arial"/>
                <w:sz w:val="22"/>
                <w:lang w:bidi="x-none"/>
              </w:rPr>
              <w:t>Agassiz</w:t>
            </w:r>
          </w:p>
        </w:tc>
      </w:tr>
      <w:tr w:rsidR="00485F92" w:rsidRPr="00FB00CA" w14:paraId="5FE6C021" w14:textId="77777777">
        <w:trPr>
          <w:trHeight w:val="260"/>
        </w:trPr>
        <w:tc>
          <w:tcPr>
            <w:tcW w:w="1860" w:type="dxa"/>
            <w:tcBorders>
              <w:top w:val="nil"/>
              <w:left w:val="nil"/>
              <w:bottom w:val="dotted" w:sz="6" w:space="0" w:color="auto"/>
              <w:right w:val="nil"/>
            </w:tcBorders>
            <w:shd w:val="clear" w:color="auto" w:fill="auto"/>
            <w:vAlign w:val="bottom"/>
          </w:tcPr>
          <w:p w14:paraId="78F62B11" w14:textId="77777777" w:rsidR="00485F92" w:rsidRPr="00FB00CA" w:rsidRDefault="00485F92" w:rsidP="00485F92">
            <w:pPr>
              <w:jc w:val="center"/>
              <w:rPr>
                <w:rFonts w:ascii="Geneva" w:hAnsi="Geneva"/>
                <w:sz w:val="22"/>
                <w:lang w:bidi="x-none"/>
              </w:rPr>
            </w:pPr>
            <w:r w:rsidRPr="00FB00CA">
              <w:rPr>
                <w:rFonts w:ascii="Arial" w:hAnsi="Arial"/>
                <w:sz w:val="22"/>
                <w:lang w:bidi="x-none"/>
              </w:rPr>
              <w:t>Measure</w:t>
            </w:r>
          </w:p>
        </w:tc>
        <w:tc>
          <w:tcPr>
            <w:tcW w:w="1860" w:type="dxa"/>
            <w:tcBorders>
              <w:top w:val="nil"/>
              <w:left w:val="nil"/>
              <w:bottom w:val="dotted" w:sz="6" w:space="0" w:color="auto"/>
              <w:right w:val="nil"/>
            </w:tcBorders>
            <w:shd w:val="clear" w:color="auto" w:fill="auto"/>
            <w:vAlign w:val="bottom"/>
          </w:tcPr>
          <w:p w14:paraId="16DF1C18" w14:textId="77777777" w:rsidR="00485F92" w:rsidRPr="00FB00CA" w:rsidRDefault="00485F92" w:rsidP="00485F92">
            <w:pPr>
              <w:jc w:val="center"/>
              <w:rPr>
                <w:rFonts w:ascii="Geneva" w:hAnsi="Geneva"/>
                <w:sz w:val="22"/>
                <w:lang w:bidi="x-none"/>
              </w:rPr>
            </w:pPr>
            <w:r w:rsidRPr="00FB00CA">
              <w:rPr>
                <w:rFonts w:ascii="Arial" w:hAnsi="Arial"/>
                <w:sz w:val="22"/>
                <w:lang w:bidi="x-none"/>
              </w:rPr>
              <w:t>Units</w:t>
            </w:r>
          </w:p>
        </w:tc>
        <w:tc>
          <w:tcPr>
            <w:tcW w:w="1500" w:type="dxa"/>
            <w:tcBorders>
              <w:top w:val="nil"/>
              <w:left w:val="nil"/>
              <w:bottom w:val="dotted" w:sz="6" w:space="0" w:color="auto"/>
              <w:right w:val="nil"/>
            </w:tcBorders>
            <w:shd w:val="clear" w:color="auto" w:fill="auto"/>
            <w:noWrap/>
            <w:vAlign w:val="bottom"/>
          </w:tcPr>
          <w:p w14:paraId="0845945F" w14:textId="77777777" w:rsidR="00485F92" w:rsidRPr="00FB00CA" w:rsidRDefault="00485F92">
            <w:pPr>
              <w:jc w:val="center"/>
              <w:rPr>
                <w:rFonts w:ascii="Geneva" w:hAnsi="Geneva"/>
                <w:sz w:val="22"/>
                <w:lang w:bidi="x-none"/>
              </w:rPr>
            </w:pPr>
            <w:r w:rsidRPr="00FB00CA">
              <w:rPr>
                <w:rFonts w:ascii="Arial" w:hAnsi="Arial"/>
                <w:sz w:val="22"/>
                <w:lang w:bidi="x-none"/>
              </w:rPr>
              <w:t>Mean</w:t>
            </w:r>
          </w:p>
        </w:tc>
        <w:tc>
          <w:tcPr>
            <w:tcW w:w="1500" w:type="dxa"/>
            <w:tcBorders>
              <w:top w:val="nil"/>
              <w:left w:val="nil"/>
              <w:bottom w:val="dotted" w:sz="6" w:space="0" w:color="auto"/>
              <w:right w:val="nil"/>
            </w:tcBorders>
            <w:shd w:val="clear" w:color="auto" w:fill="auto"/>
            <w:noWrap/>
            <w:vAlign w:val="bottom"/>
          </w:tcPr>
          <w:p w14:paraId="7059B735" w14:textId="77777777" w:rsidR="00485F92" w:rsidRPr="00FB00CA" w:rsidRDefault="00485F92">
            <w:pPr>
              <w:jc w:val="center"/>
              <w:rPr>
                <w:rFonts w:ascii="Geneva" w:hAnsi="Geneva"/>
                <w:sz w:val="22"/>
                <w:lang w:bidi="x-none"/>
              </w:rPr>
            </w:pPr>
            <w:r w:rsidRPr="00FB00CA">
              <w:rPr>
                <w:rFonts w:ascii="Arial" w:hAnsi="Arial"/>
                <w:sz w:val="22"/>
                <w:lang w:bidi="x-none"/>
              </w:rPr>
              <w:t>SD</w:t>
            </w:r>
          </w:p>
        </w:tc>
        <w:tc>
          <w:tcPr>
            <w:tcW w:w="1500" w:type="dxa"/>
            <w:tcBorders>
              <w:top w:val="nil"/>
              <w:left w:val="nil"/>
              <w:bottom w:val="dotted" w:sz="6" w:space="0" w:color="auto"/>
              <w:right w:val="nil"/>
            </w:tcBorders>
            <w:shd w:val="clear" w:color="auto" w:fill="auto"/>
            <w:noWrap/>
            <w:vAlign w:val="bottom"/>
          </w:tcPr>
          <w:p w14:paraId="3CD65D06" w14:textId="77777777" w:rsidR="00485F92" w:rsidRPr="00FB00CA" w:rsidRDefault="00485F92">
            <w:pPr>
              <w:jc w:val="center"/>
              <w:rPr>
                <w:rFonts w:ascii="Geneva" w:hAnsi="Geneva"/>
                <w:sz w:val="22"/>
                <w:lang w:bidi="x-none"/>
              </w:rPr>
            </w:pPr>
            <w:r w:rsidRPr="00FB00CA">
              <w:rPr>
                <w:rFonts w:ascii="Arial" w:hAnsi="Arial"/>
                <w:sz w:val="22"/>
                <w:lang w:bidi="x-none"/>
              </w:rPr>
              <w:t>Mean</w:t>
            </w:r>
          </w:p>
        </w:tc>
        <w:tc>
          <w:tcPr>
            <w:tcW w:w="1500" w:type="dxa"/>
            <w:tcBorders>
              <w:top w:val="nil"/>
              <w:left w:val="nil"/>
              <w:bottom w:val="dotted" w:sz="6" w:space="0" w:color="auto"/>
              <w:right w:val="nil"/>
            </w:tcBorders>
            <w:shd w:val="clear" w:color="auto" w:fill="auto"/>
            <w:noWrap/>
            <w:vAlign w:val="bottom"/>
          </w:tcPr>
          <w:p w14:paraId="06BB70E5" w14:textId="77777777" w:rsidR="00485F92" w:rsidRPr="00FB00CA" w:rsidRDefault="00485F92">
            <w:pPr>
              <w:jc w:val="center"/>
              <w:rPr>
                <w:rFonts w:ascii="Geneva" w:hAnsi="Geneva"/>
                <w:sz w:val="22"/>
                <w:lang w:bidi="x-none"/>
              </w:rPr>
            </w:pPr>
            <w:r w:rsidRPr="00FB00CA">
              <w:rPr>
                <w:rFonts w:ascii="Arial" w:hAnsi="Arial"/>
                <w:sz w:val="22"/>
                <w:lang w:bidi="x-none"/>
              </w:rPr>
              <w:t>SD</w:t>
            </w:r>
          </w:p>
        </w:tc>
      </w:tr>
      <w:tr w:rsidR="00485F92" w:rsidRPr="00FB00CA" w14:paraId="2F5EA371" w14:textId="77777777">
        <w:trPr>
          <w:trHeight w:val="320"/>
        </w:trPr>
        <w:tc>
          <w:tcPr>
            <w:tcW w:w="1860" w:type="dxa"/>
            <w:tcBorders>
              <w:top w:val="dotted" w:sz="6" w:space="0" w:color="auto"/>
              <w:left w:val="nil"/>
              <w:bottom w:val="nil"/>
              <w:right w:val="nil"/>
            </w:tcBorders>
            <w:shd w:val="clear" w:color="auto" w:fill="auto"/>
            <w:noWrap/>
            <w:vAlign w:val="bottom"/>
          </w:tcPr>
          <w:p w14:paraId="3265A202"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pH</w:t>
            </w:r>
          </w:p>
        </w:tc>
        <w:tc>
          <w:tcPr>
            <w:tcW w:w="1860" w:type="dxa"/>
            <w:tcBorders>
              <w:top w:val="dotted" w:sz="6" w:space="0" w:color="auto"/>
              <w:left w:val="nil"/>
              <w:bottom w:val="nil"/>
              <w:right w:val="nil"/>
            </w:tcBorders>
            <w:shd w:val="clear" w:color="auto" w:fill="auto"/>
            <w:noWrap/>
            <w:vAlign w:val="bottom"/>
          </w:tcPr>
          <w:p w14:paraId="0004EF69" w14:textId="77777777" w:rsidR="00485F92" w:rsidRPr="00FB00CA" w:rsidRDefault="00485F92" w:rsidP="00485F92">
            <w:pPr>
              <w:jc w:val="center"/>
              <w:rPr>
                <w:rFonts w:ascii="Geneva" w:hAnsi="Geneva"/>
                <w:color w:val="000000"/>
                <w:sz w:val="22"/>
                <w:lang w:bidi="x-none"/>
              </w:rPr>
            </w:pPr>
          </w:p>
        </w:tc>
        <w:tc>
          <w:tcPr>
            <w:tcW w:w="1500" w:type="dxa"/>
            <w:tcBorders>
              <w:top w:val="dotted" w:sz="6" w:space="0" w:color="auto"/>
              <w:left w:val="nil"/>
              <w:bottom w:val="nil"/>
              <w:right w:val="nil"/>
            </w:tcBorders>
            <w:shd w:val="clear" w:color="auto" w:fill="auto"/>
            <w:noWrap/>
            <w:vAlign w:val="bottom"/>
          </w:tcPr>
          <w:p w14:paraId="586149F6"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8.36</w:t>
            </w:r>
          </w:p>
        </w:tc>
        <w:tc>
          <w:tcPr>
            <w:tcW w:w="1500" w:type="dxa"/>
            <w:tcBorders>
              <w:top w:val="dotted" w:sz="6" w:space="0" w:color="auto"/>
              <w:left w:val="nil"/>
              <w:bottom w:val="nil"/>
              <w:right w:val="nil"/>
            </w:tcBorders>
            <w:shd w:val="clear" w:color="auto" w:fill="auto"/>
            <w:noWrap/>
            <w:vAlign w:val="bottom"/>
          </w:tcPr>
          <w:p w14:paraId="275F52C3"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0.76</w:t>
            </w:r>
          </w:p>
        </w:tc>
        <w:tc>
          <w:tcPr>
            <w:tcW w:w="1500" w:type="dxa"/>
            <w:tcBorders>
              <w:top w:val="dotted" w:sz="6" w:space="0" w:color="auto"/>
              <w:left w:val="nil"/>
              <w:bottom w:val="nil"/>
              <w:right w:val="nil"/>
            </w:tcBorders>
            <w:shd w:val="clear" w:color="auto" w:fill="auto"/>
            <w:noWrap/>
            <w:vAlign w:val="bottom"/>
          </w:tcPr>
          <w:p w14:paraId="0EF6D5DD"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8.11</w:t>
            </w:r>
          </w:p>
        </w:tc>
        <w:tc>
          <w:tcPr>
            <w:tcW w:w="1500" w:type="dxa"/>
            <w:tcBorders>
              <w:top w:val="dotted" w:sz="6" w:space="0" w:color="auto"/>
              <w:left w:val="nil"/>
              <w:bottom w:val="nil"/>
              <w:right w:val="nil"/>
            </w:tcBorders>
            <w:shd w:val="clear" w:color="auto" w:fill="auto"/>
            <w:noWrap/>
            <w:vAlign w:val="bottom"/>
          </w:tcPr>
          <w:p w14:paraId="2E773CA7"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1.04</w:t>
            </w:r>
          </w:p>
        </w:tc>
      </w:tr>
      <w:tr w:rsidR="00485F92" w:rsidRPr="00FB00CA" w14:paraId="69148A27" w14:textId="77777777">
        <w:trPr>
          <w:trHeight w:val="320"/>
        </w:trPr>
        <w:tc>
          <w:tcPr>
            <w:tcW w:w="1860" w:type="dxa"/>
            <w:tcBorders>
              <w:top w:val="nil"/>
              <w:left w:val="nil"/>
              <w:bottom w:val="nil"/>
              <w:right w:val="nil"/>
            </w:tcBorders>
            <w:shd w:val="clear" w:color="auto" w:fill="auto"/>
            <w:vAlign w:val="bottom"/>
          </w:tcPr>
          <w:p w14:paraId="5CB0F88C"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Cond</w:t>
            </w:r>
          </w:p>
        </w:tc>
        <w:tc>
          <w:tcPr>
            <w:tcW w:w="1860" w:type="dxa"/>
            <w:tcBorders>
              <w:top w:val="nil"/>
              <w:left w:val="nil"/>
              <w:bottom w:val="nil"/>
              <w:right w:val="nil"/>
            </w:tcBorders>
            <w:shd w:val="clear" w:color="auto" w:fill="auto"/>
            <w:vAlign w:val="bottom"/>
          </w:tcPr>
          <w:p w14:paraId="0C3BEC2D"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µS/cm</w:t>
            </w:r>
          </w:p>
        </w:tc>
        <w:tc>
          <w:tcPr>
            <w:tcW w:w="1500" w:type="dxa"/>
            <w:tcBorders>
              <w:top w:val="nil"/>
              <w:left w:val="nil"/>
              <w:bottom w:val="nil"/>
              <w:right w:val="nil"/>
            </w:tcBorders>
            <w:shd w:val="clear" w:color="auto" w:fill="auto"/>
            <w:noWrap/>
            <w:vAlign w:val="bottom"/>
          </w:tcPr>
          <w:p w14:paraId="71E0419A"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652</w:t>
            </w:r>
          </w:p>
        </w:tc>
        <w:tc>
          <w:tcPr>
            <w:tcW w:w="1500" w:type="dxa"/>
            <w:tcBorders>
              <w:top w:val="nil"/>
              <w:left w:val="nil"/>
              <w:bottom w:val="nil"/>
              <w:right w:val="nil"/>
            </w:tcBorders>
            <w:shd w:val="clear" w:color="auto" w:fill="auto"/>
            <w:noWrap/>
            <w:vAlign w:val="bottom"/>
          </w:tcPr>
          <w:p w14:paraId="4341A72F"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105</w:t>
            </w:r>
          </w:p>
        </w:tc>
        <w:tc>
          <w:tcPr>
            <w:tcW w:w="1500" w:type="dxa"/>
            <w:tcBorders>
              <w:top w:val="nil"/>
              <w:left w:val="nil"/>
              <w:bottom w:val="nil"/>
              <w:right w:val="nil"/>
            </w:tcBorders>
            <w:shd w:val="clear" w:color="auto" w:fill="auto"/>
            <w:noWrap/>
            <w:vAlign w:val="bottom"/>
          </w:tcPr>
          <w:p w14:paraId="48B781D4"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400</w:t>
            </w:r>
          </w:p>
        </w:tc>
        <w:tc>
          <w:tcPr>
            <w:tcW w:w="1500" w:type="dxa"/>
            <w:tcBorders>
              <w:top w:val="nil"/>
              <w:left w:val="nil"/>
              <w:bottom w:val="nil"/>
              <w:right w:val="nil"/>
            </w:tcBorders>
            <w:shd w:val="clear" w:color="auto" w:fill="auto"/>
            <w:noWrap/>
            <w:vAlign w:val="bottom"/>
          </w:tcPr>
          <w:p w14:paraId="42FC6DFE"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67</w:t>
            </w:r>
          </w:p>
        </w:tc>
      </w:tr>
      <w:tr w:rsidR="00485F92" w:rsidRPr="00FB00CA" w14:paraId="1056608F" w14:textId="77777777">
        <w:trPr>
          <w:trHeight w:val="320"/>
        </w:trPr>
        <w:tc>
          <w:tcPr>
            <w:tcW w:w="1860" w:type="dxa"/>
            <w:tcBorders>
              <w:top w:val="nil"/>
              <w:left w:val="nil"/>
              <w:bottom w:val="nil"/>
              <w:right w:val="nil"/>
            </w:tcBorders>
            <w:shd w:val="clear" w:color="auto" w:fill="auto"/>
            <w:vAlign w:val="bottom"/>
          </w:tcPr>
          <w:p w14:paraId="5404F50D"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Temp</w:t>
            </w:r>
          </w:p>
        </w:tc>
        <w:tc>
          <w:tcPr>
            <w:tcW w:w="1860" w:type="dxa"/>
            <w:tcBorders>
              <w:top w:val="nil"/>
              <w:left w:val="nil"/>
              <w:bottom w:val="nil"/>
              <w:right w:val="nil"/>
            </w:tcBorders>
            <w:shd w:val="clear" w:color="auto" w:fill="auto"/>
            <w:vAlign w:val="bottom"/>
          </w:tcPr>
          <w:p w14:paraId="5D39C95D"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°C</w:t>
            </w:r>
          </w:p>
        </w:tc>
        <w:tc>
          <w:tcPr>
            <w:tcW w:w="1500" w:type="dxa"/>
            <w:tcBorders>
              <w:top w:val="nil"/>
              <w:left w:val="nil"/>
              <w:bottom w:val="nil"/>
              <w:right w:val="nil"/>
            </w:tcBorders>
            <w:shd w:val="clear" w:color="auto" w:fill="auto"/>
            <w:noWrap/>
            <w:vAlign w:val="bottom"/>
          </w:tcPr>
          <w:p w14:paraId="0CEEE63B"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21.7</w:t>
            </w:r>
          </w:p>
        </w:tc>
        <w:tc>
          <w:tcPr>
            <w:tcW w:w="1500" w:type="dxa"/>
            <w:tcBorders>
              <w:top w:val="nil"/>
              <w:left w:val="nil"/>
              <w:bottom w:val="nil"/>
              <w:right w:val="nil"/>
            </w:tcBorders>
            <w:shd w:val="clear" w:color="auto" w:fill="auto"/>
            <w:noWrap/>
            <w:vAlign w:val="bottom"/>
          </w:tcPr>
          <w:p w14:paraId="4403190F"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4.8</w:t>
            </w:r>
          </w:p>
        </w:tc>
        <w:tc>
          <w:tcPr>
            <w:tcW w:w="1500" w:type="dxa"/>
            <w:tcBorders>
              <w:top w:val="nil"/>
              <w:left w:val="nil"/>
              <w:bottom w:val="nil"/>
              <w:right w:val="nil"/>
            </w:tcBorders>
            <w:shd w:val="clear" w:color="auto" w:fill="auto"/>
            <w:noWrap/>
            <w:vAlign w:val="bottom"/>
          </w:tcPr>
          <w:p w14:paraId="45E5340F"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21.3</w:t>
            </w:r>
          </w:p>
        </w:tc>
        <w:tc>
          <w:tcPr>
            <w:tcW w:w="1500" w:type="dxa"/>
            <w:tcBorders>
              <w:top w:val="nil"/>
              <w:left w:val="nil"/>
              <w:bottom w:val="nil"/>
              <w:right w:val="nil"/>
            </w:tcBorders>
            <w:shd w:val="clear" w:color="auto" w:fill="auto"/>
            <w:noWrap/>
            <w:vAlign w:val="bottom"/>
          </w:tcPr>
          <w:p w14:paraId="050AF49A"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2.9</w:t>
            </w:r>
          </w:p>
        </w:tc>
      </w:tr>
      <w:tr w:rsidR="00485F92" w:rsidRPr="00FB00CA" w14:paraId="5A4C5F6A" w14:textId="77777777">
        <w:trPr>
          <w:trHeight w:val="320"/>
        </w:trPr>
        <w:tc>
          <w:tcPr>
            <w:tcW w:w="1860" w:type="dxa"/>
            <w:tcBorders>
              <w:top w:val="nil"/>
              <w:left w:val="nil"/>
              <w:bottom w:val="nil"/>
              <w:right w:val="nil"/>
            </w:tcBorders>
            <w:shd w:val="clear" w:color="auto" w:fill="auto"/>
            <w:vAlign w:val="bottom"/>
          </w:tcPr>
          <w:p w14:paraId="5CC312A8"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DO</w:t>
            </w:r>
          </w:p>
        </w:tc>
        <w:tc>
          <w:tcPr>
            <w:tcW w:w="1860" w:type="dxa"/>
            <w:tcBorders>
              <w:top w:val="nil"/>
              <w:left w:val="nil"/>
              <w:bottom w:val="nil"/>
              <w:right w:val="nil"/>
            </w:tcBorders>
            <w:shd w:val="clear" w:color="auto" w:fill="auto"/>
            <w:vAlign w:val="bottom"/>
          </w:tcPr>
          <w:p w14:paraId="42AFA686"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mg/L</w:t>
            </w:r>
          </w:p>
        </w:tc>
        <w:tc>
          <w:tcPr>
            <w:tcW w:w="1500" w:type="dxa"/>
            <w:tcBorders>
              <w:top w:val="nil"/>
              <w:left w:val="nil"/>
              <w:bottom w:val="nil"/>
              <w:right w:val="nil"/>
            </w:tcBorders>
            <w:shd w:val="clear" w:color="auto" w:fill="auto"/>
            <w:noWrap/>
            <w:vAlign w:val="bottom"/>
          </w:tcPr>
          <w:p w14:paraId="6794474E"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8.3</w:t>
            </w:r>
          </w:p>
        </w:tc>
        <w:tc>
          <w:tcPr>
            <w:tcW w:w="1500" w:type="dxa"/>
            <w:tcBorders>
              <w:top w:val="nil"/>
              <w:left w:val="nil"/>
              <w:bottom w:val="nil"/>
              <w:right w:val="nil"/>
            </w:tcBorders>
            <w:shd w:val="clear" w:color="auto" w:fill="auto"/>
            <w:noWrap/>
            <w:vAlign w:val="bottom"/>
          </w:tcPr>
          <w:p w14:paraId="3E80795E"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1.7</w:t>
            </w:r>
          </w:p>
        </w:tc>
        <w:tc>
          <w:tcPr>
            <w:tcW w:w="1500" w:type="dxa"/>
            <w:tcBorders>
              <w:top w:val="nil"/>
              <w:left w:val="nil"/>
              <w:bottom w:val="nil"/>
              <w:right w:val="nil"/>
            </w:tcBorders>
            <w:shd w:val="clear" w:color="auto" w:fill="auto"/>
            <w:noWrap/>
            <w:vAlign w:val="bottom"/>
          </w:tcPr>
          <w:p w14:paraId="61BCD28E"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8.6</w:t>
            </w:r>
          </w:p>
        </w:tc>
        <w:tc>
          <w:tcPr>
            <w:tcW w:w="1500" w:type="dxa"/>
            <w:tcBorders>
              <w:top w:val="nil"/>
              <w:left w:val="nil"/>
              <w:bottom w:val="nil"/>
              <w:right w:val="nil"/>
            </w:tcBorders>
            <w:shd w:val="clear" w:color="auto" w:fill="auto"/>
            <w:noWrap/>
            <w:vAlign w:val="bottom"/>
          </w:tcPr>
          <w:p w14:paraId="23E66F66"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3.1</w:t>
            </w:r>
          </w:p>
        </w:tc>
      </w:tr>
      <w:tr w:rsidR="00485F92" w:rsidRPr="00FB00CA" w14:paraId="03BE9F01" w14:textId="77777777">
        <w:trPr>
          <w:trHeight w:val="320"/>
        </w:trPr>
        <w:tc>
          <w:tcPr>
            <w:tcW w:w="1860" w:type="dxa"/>
            <w:tcBorders>
              <w:top w:val="nil"/>
              <w:left w:val="nil"/>
              <w:bottom w:val="nil"/>
              <w:right w:val="nil"/>
            </w:tcBorders>
            <w:shd w:val="clear" w:color="auto" w:fill="auto"/>
            <w:vAlign w:val="bottom"/>
          </w:tcPr>
          <w:p w14:paraId="3EF54AA9"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Turbidity</w:t>
            </w:r>
          </w:p>
        </w:tc>
        <w:tc>
          <w:tcPr>
            <w:tcW w:w="1860" w:type="dxa"/>
            <w:tcBorders>
              <w:top w:val="nil"/>
              <w:left w:val="nil"/>
              <w:bottom w:val="nil"/>
              <w:right w:val="nil"/>
            </w:tcBorders>
            <w:shd w:val="clear" w:color="auto" w:fill="auto"/>
            <w:vAlign w:val="bottom"/>
          </w:tcPr>
          <w:p w14:paraId="633E1779"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NTU</w:t>
            </w:r>
          </w:p>
        </w:tc>
        <w:tc>
          <w:tcPr>
            <w:tcW w:w="1500" w:type="dxa"/>
            <w:tcBorders>
              <w:top w:val="nil"/>
              <w:left w:val="nil"/>
              <w:bottom w:val="nil"/>
              <w:right w:val="nil"/>
            </w:tcBorders>
            <w:shd w:val="clear" w:color="auto" w:fill="auto"/>
            <w:noWrap/>
            <w:vAlign w:val="bottom"/>
          </w:tcPr>
          <w:p w14:paraId="6017743E"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17.7</w:t>
            </w:r>
          </w:p>
        </w:tc>
        <w:tc>
          <w:tcPr>
            <w:tcW w:w="1500" w:type="dxa"/>
            <w:tcBorders>
              <w:top w:val="nil"/>
              <w:left w:val="nil"/>
              <w:bottom w:val="nil"/>
              <w:right w:val="nil"/>
            </w:tcBorders>
            <w:shd w:val="clear" w:color="auto" w:fill="auto"/>
            <w:noWrap/>
            <w:vAlign w:val="bottom"/>
          </w:tcPr>
          <w:p w14:paraId="7ED34EF4"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7.4</w:t>
            </w:r>
          </w:p>
        </w:tc>
        <w:tc>
          <w:tcPr>
            <w:tcW w:w="1500" w:type="dxa"/>
            <w:tcBorders>
              <w:top w:val="nil"/>
              <w:left w:val="nil"/>
              <w:bottom w:val="nil"/>
              <w:right w:val="nil"/>
            </w:tcBorders>
            <w:shd w:val="clear" w:color="auto" w:fill="auto"/>
            <w:noWrap/>
            <w:vAlign w:val="bottom"/>
          </w:tcPr>
          <w:p w14:paraId="0B88DE14"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8.6</w:t>
            </w:r>
          </w:p>
        </w:tc>
        <w:tc>
          <w:tcPr>
            <w:tcW w:w="1500" w:type="dxa"/>
            <w:tcBorders>
              <w:top w:val="nil"/>
              <w:left w:val="nil"/>
              <w:bottom w:val="nil"/>
              <w:right w:val="nil"/>
            </w:tcBorders>
            <w:shd w:val="clear" w:color="auto" w:fill="auto"/>
            <w:noWrap/>
            <w:vAlign w:val="bottom"/>
          </w:tcPr>
          <w:p w14:paraId="1CBC6D6D"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8.2</w:t>
            </w:r>
          </w:p>
        </w:tc>
      </w:tr>
      <w:tr w:rsidR="00485F92" w:rsidRPr="00FB00CA" w14:paraId="0B94A41F" w14:textId="77777777">
        <w:trPr>
          <w:trHeight w:val="320"/>
        </w:trPr>
        <w:tc>
          <w:tcPr>
            <w:tcW w:w="1860" w:type="dxa"/>
            <w:tcBorders>
              <w:top w:val="nil"/>
              <w:left w:val="nil"/>
              <w:bottom w:val="nil"/>
              <w:right w:val="nil"/>
            </w:tcBorders>
            <w:shd w:val="clear" w:color="auto" w:fill="auto"/>
            <w:vAlign w:val="bottom"/>
          </w:tcPr>
          <w:p w14:paraId="42E6A9E0" w14:textId="77777777" w:rsidR="00485F92" w:rsidRPr="00FB00CA" w:rsidRDefault="00485F92" w:rsidP="00485F92">
            <w:pPr>
              <w:jc w:val="center"/>
              <w:rPr>
                <w:rFonts w:ascii="Geneva" w:hAnsi="Geneva"/>
                <w:sz w:val="22"/>
                <w:lang w:bidi="x-none"/>
              </w:rPr>
            </w:pPr>
            <w:r w:rsidRPr="00FB00CA">
              <w:rPr>
                <w:rFonts w:ascii="Arial" w:hAnsi="Arial"/>
                <w:sz w:val="22"/>
                <w:lang w:bidi="x-none"/>
              </w:rPr>
              <w:t>TOC</w:t>
            </w:r>
          </w:p>
        </w:tc>
        <w:tc>
          <w:tcPr>
            <w:tcW w:w="1860" w:type="dxa"/>
            <w:tcBorders>
              <w:top w:val="nil"/>
              <w:left w:val="nil"/>
              <w:bottom w:val="nil"/>
              <w:right w:val="nil"/>
            </w:tcBorders>
            <w:shd w:val="clear" w:color="auto" w:fill="auto"/>
            <w:vAlign w:val="bottom"/>
          </w:tcPr>
          <w:p w14:paraId="260FDF47" w14:textId="77777777" w:rsidR="00485F92" w:rsidRPr="00FB00CA" w:rsidRDefault="00485F92" w:rsidP="00485F92">
            <w:pPr>
              <w:jc w:val="center"/>
              <w:rPr>
                <w:rFonts w:ascii="Geneva" w:hAnsi="Geneva"/>
                <w:sz w:val="22"/>
                <w:lang w:bidi="x-none"/>
              </w:rPr>
            </w:pPr>
            <w:r w:rsidRPr="00FB00CA">
              <w:rPr>
                <w:rFonts w:ascii="Arial" w:hAnsi="Arial"/>
                <w:sz w:val="22"/>
                <w:lang w:bidi="x-none"/>
              </w:rPr>
              <w:t>mg C/L</w:t>
            </w:r>
          </w:p>
        </w:tc>
        <w:tc>
          <w:tcPr>
            <w:tcW w:w="1500" w:type="dxa"/>
            <w:tcBorders>
              <w:top w:val="nil"/>
              <w:left w:val="nil"/>
              <w:bottom w:val="nil"/>
              <w:right w:val="nil"/>
            </w:tcBorders>
            <w:shd w:val="clear" w:color="auto" w:fill="auto"/>
            <w:noWrap/>
            <w:vAlign w:val="bottom"/>
          </w:tcPr>
          <w:p w14:paraId="49F565A8"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21.7</w:t>
            </w:r>
          </w:p>
        </w:tc>
        <w:tc>
          <w:tcPr>
            <w:tcW w:w="1500" w:type="dxa"/>
            <w:tcBorders>
              <w:top w:val="nil"/>
              <w:left w:val="nil"/>
              <w:bottom w:val="nil"/>
              <w:right w:val="nil"/>
            </w:tcBorders>
            <w:shd w:val="clear" w:color="auto" w:fill="auto"/>
            <w:noWrap/>
            <w:vAlign w:val="bottom"/>
          </w:tcPr>
          <w:p w14:paraId="6649C714"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2.1</w:t>
            </w:r>
          </w:p>
        </w:tc>
        <w:tc>
          <w:tcPr>
            <w:tcW w:w="1500" w:type="dxa"/>
            <w:tcBorders>
              <w:top w:val="nil"/>
              <w:left w:val="nil"/>
              <w:bottom w:val="nil"/>
              <w:right w:val="nil"/>
            </w:tcBorders>
            <w:shd w:val="clear" w:color="auto" w:fill="auto"/>
            <w:noWrap/>
            <w:vAlign w:val="bottom"/>
          </w:tcPr>
          <w:p w14:paraId="37673D6E"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19.0</w:t>
            </w:r>
          </w:p>
        </w:tc>
        <w:tc>
          <w:tcPr>
            <w:tcW w:w="1500" w:type="dxa"/>
            <w:tcBorders>
              <w:top w:val="nil"/>
              <w:left w:val="nil"/>
              <w:bottom w:val="nil"/>
              <w:right w:val="nil"/>
            </w:tcBorders>
            <w:shd w:val="clear" w:color="auto" w:fill="auto"/>
            <w:noWrap/>
            <w:vAlign w:val="bottom"/>
          </w:tcPr>
          <w:p w14:paraId="0EAC85C6"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3.1</w:t>
            </w:r>
          </w:p>
        </w:tc>
      </w:tr>
      <w:tr w:rsidR="00485F92" w:rsidRPr="00FB00CA" w14:paraId="7587F68C" w14:textId="77777777">
        <w:trPr>
          <w:trHeight w:val="320"/>
        </w:trPr>
        <w:tc>
          <w:tcPr>
            <w:tcW w:w="1860" w:type="dxa"/>
            <w:tcBorders>
              <w:top w:val="nil"/>
              <w:left w:val="nil"/>
              <w:bottom w:val="nil"/>
              <w:right w:val="nil"/>
            </w:tcBorders>
            <w:shd w:val="clear" w:color="auto" w:fill="auto"/>
            <w:vAlign w:val="bottom"/>
          </w:tcPr>
          <w:p w14:paraId="6068ECA9" w14:textId="77777777" w:rsidR="00485F92" w:rsidRPr="00FB00CA" w:rsidRDefault="00485F92" w:rsidP="00485F92">
            <w:pPr>
              <w:jc w:val="center"/>
              <w:rPr>
                <w:rFonts w:ascii="Geneva" w:hAnsi="Geneva"/>
                <w:sz w:val="22"/>
                <w:lang w:bidi="x-none"/>
              </w:rPr>
            </w:pPr>
            <w:r w:rsidRPr="00FB00CA">
              <w:rPr>
                <w:rFonts w:ascii="Arial" w:hAnsi="Arial"/>
                <w:sz w:val="22"/>
                <w:lang w:bidi="x-none"/>
              </w:rPr>
              <w:t>Alkalinity</w:t>
            </w:r>
          </w:p>
        </w:tc>
        <w:tc>
          <w:tcPr>
            <w:tcW w:w="1860" w:type="dxa"/>
            <w:tcBorders>
              <w:top w:val="nil"/>
              <w:left w:val="nil"/>
              <w:bottom w:val="nil"/>
              <w:right w:val="nil"/>
            </w:tcBorders>
            <w:shd w:val="clear" w:color="auto" w:fill="auto"/>
            <w:vAlign w:val="bottom"/>
          </w:tcPr>
          <w:p w14:paraId="344C0076" w14:textId="77777777" w:rsidR="00485F92" w:rsidRPr="00FB00CA" w:rsidRDefault="00485F92" w:rsidP="00485F92">
            <w:pPr>
              <w:jc w:val="center"/>
              <w:rPr>
                <w:rFonts w:ascii="Geneva" w:hAnsi="Geneva"/>
                <w:sz w:val="22"/>
                <w:lang w:bidi="x-none"/>
              </w:rPr>
            </w:pPr>
            <w:r w:rsidRPr="00FB00CA">
              <w:rPr>
                <w:rFonts w:ascii="Arial" w:hAnsi="Arial"/>
                <w:sz w:val="22"/>
                <w:lang w:bidi="x-none"/>
              </w:rPr>
              <w:t>mg CaCO</w:t>
            </w:r>
            <w:r w:rsidRPr="00FB00CA">
              <w:rPr>
                <w:rFonts w:ascii="Arial" w:hAnsi="Arial"/>
                <w:sz w:val="22"/>
                <w:vertAlign w:val="subscript"/>
                <w:lang w:bidi="x-none"/>
              </w:rPr>
              <w:t>3</w:t>
            </w:r>
            <w:r w:rsidRPr="00FB00CA">
              <w:rPr>
                <w:rFonts w:ascii="Arial" w:hAnsi="Arial"/>
                <w:sz w:val="22"/>
                <w:lang w:bidi="x-none"/>
              </w:rPr>
              <w:t>/L</w:t>
            </w:r>
          </w:p>
        </w:tc>
        <w:tc>
          <w:tcPr>
            <w:tcW w:w="1500" w:type="dxa"/>
            <w:tcBorders>
              <w:top w:val="nil"/>
              <w:left w:val="nil"/>
              <w:bottom w:val="nil"/>
              <w:right w:val="nil"/>
            </w:tcBorders>
            <w:shd w:val="clear" w:color="auto" w:fill="auto"/>
            <w:noWrap/>
            <w:vAlign w:val="bottom"/>
          </w:tcPr>
          <w:p w14:paraId="62BA8C60"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158.9</w:t>
            </w:r>
          </w:p>
        </w:tc>
        <w:tc>
          <w:tcPr>
            <w:tcW w:w="1500" w:type="dxa"/>
            <w:tcBorders>
              <w:top w:val="nil"/>
              <w:left w:val="nil"/>
              <w:bottom w:val="nil"/>
              <w:right w:val="nil"/>
            </w:tcBorders>
            <w:shd w:val="clear" w:color="auto" w:fill="auto"/>
            <w:noWrap/>
            <w:vAlign w:val="bottom"/>
          </w:tcPr>
          <w:p w14:paraId="29A83317"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23.8</w:t>
            </w:r>
          </w:p>
        </w:tc>
        <w:tc>
          <w:tcPr>
            <w:tcW w:w="1500" w:type="dxa"/>
            <w:tcBorders>
              <w:top w:val="nil"/>
              <w:left w:val="nil"/>
              <w:bottom w:val="nil"/>
              <w:right w:val="nil"/>
            </w:tcBorders>
            <w:shd w:val="clear" w:color="auto" w:fill="auto"/>
            <w:noWrap/>
            <w:vAlign w:val="bottom"/>
          </w:tcPr>
          <w:p w14:paraId="34BCC8A1"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115.0</w:t>
            </w:r>
          </w:p>
        </w:tc>
        <w:tc>
          <w:tcPr>
            <w:tcW w:w="1500" w:type="dxa"/>
            <w:tcBorders>
              <w:top w:val="nil"/>
              <w:left w:val="nil"/>
              <w:bottom w:val="nil"/>
              <w:right w:val="nil"/>
            </w:tcBorders>
            <w:shd w:val="clear" w:color="auto" w:fill="auto"/>
            <w:noWrap/>
            <w:vAlign w:val="bottom"/>
          </w:tcPr>
          <w:p w14:paraId="4969A912"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21.2</w:t>
            </w:r>
          </w:p>
        </w:tc>
      </w:tr>
      <w:tr w:rsidR="00485F92" w:rsidRPr="00FB00CA" w14:paraId="35577F34" w14:textId="77777777">
        <w:trPr>
          <w:trHeight w:val="320"/>
        </w:trPr>
        <w:tc>
          <w:tcPr>
            <w:tcW w:w="1860" w:type="dxa"/>
            <w:tcBorders>
              <w:top w:val="nil"/>
              <w:left w:val="nil"/>
              <w:bottom w:val="nil"/>
              <w:right w:val="nil"/>
            </w:tcBorders>
            <w:shd w:val="clear" w:color="auto" w:fill="auto"/>
            <w:vAlign w:val="bottom"/>
          </w:tcPr>
          <w:p w14:paraId="7C0A3EFC"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SO</w:t>
            </w:r>
            <w:r w:rsidRPr="00FB00CA">
              <w:rPr>
                <w:rFonts w:ascii="Arial" w:hAnsi="Arial"/>
                <w:color w:val="000000"/>
                <w:sz w:val="22"/>
                <w:vertAlign w:val="subscript"/>
                <w:lang w:bidi="x-none"/>
              </w:rPr>
              <w:t>4</w:t>
            </w:r>
          </w:p>
        </w:tc>
        <w:tc>
          <w:tcPr>
            <w:tcW w:w="1860" w:type="dxa"/>
            <w:tcBorders>
              <w:top w:val="nil"/>
              <w:left w:val="nil"/>
              <w:bottom w:val="nil"/>
              <w:right w:val="nil"/>
            </w:tcBorders>
            <w:shd w:val="clear" w:color="auto" w:fill="auto"/>
            <w:vAlign w:val="bottom"/>
          </w:tcPr>
          <w:p w14:paraId="301F3991"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ppm</w:t>
            </w:r>
          </w:p>
        </w:tc>
        <w:tc>
          <w:tcPr>
            <w:tcW w:w="1500" w:type="dxa"/>
            <w:tcBorders>
              <w:top w:val="nil"/>
              <w:left w:val="nil"/>
              <w:bottom w:val="nil"/>
              <w:right w:val="nil"/>
            </w:tcBorders>
            <w:shd w:val="clear" w:color="auto" w:fill="auto"/>
            <w:vAlign w:val="center"/>
          </w:tcPr>
          <w:p w14:paraId="38F0386F"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181.9</w:t>
            </w:r>
          </w:p>
        </w:tc>
        <w:tc>
          <w:tcPr>
            <w:tcW w:w="1500" w:type="dxa"/>
            <w:tcBorders>
              <w:top w:val="nil"/>
              <w:left w:val="nil"/>
              <w:bottom w:val="nil"/>
              <w:right w:val="nil"/>
            </w:tcBorders>
            <w:shd w:val="clear" w:color="auto" w:fill="auto"/>
            <w:vAlign w:val="center"/>
          </w:tcPr>
          <w:p w14:paraId="72B1BC1C"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58.9</w:t>
            </w:r>
          </w:p>
        </w:tc>
        <w:tc>
          <w:tcPr>
            <w:tcW w:w="1500" w:type="dxa"/>
            <w:tcBorders>
              <w:top w:val="nil"/>
              <w:left w:val="nil"/>
              <w:bottom w:val="nil"/>
              <w:right w:val="nil"/>
            </w:tcBorders>
            <w:shd w:val="clear" w:color="auto" w:fill="auto"/>
            <w:vAlign w:val="center"/>
          </w:tcPr>
          <w:p w14:paraId="278A6A72"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79.7</w:t>
            </w:r>
          </w:p>
        </w:tc>
        <w:tc>
          <w:tcPr>
            <w:tcW w:w="1500" w:type="dxa"/>
            <w:tcBorders>
              <w:top w:val="nil"/>
              <w:left w:val="nil"/>
              <w:bottom w:val="nil"/>
              <w:right w:val="nil"/>
            </w:tcBorders>
            <w:shd w:val="clear" w:color="auto" w:fill="auto"/>
            <w:vAlign w:val="center"/>
          </w:tcPr>
          <w:p w14:paraId="04225D07"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30.5</w:t>
            </w:r>
          </w:p>
        </w:tc>
      </w:tr>
      <w:tr w:rsidR="00485F92" w:rsidRPr="00FB00CA" w14:paraId="312327A1" w14:textId="77777777">
        <w:trPr>
          <w:trHeight w:val="320"/>
        </w:trPr>
        <w:tc>
          <w:tcPr>
            <w:tcW w:w="1860" w:type="dxa"/>
            <w:tcBorders>
              <w:top w:val="nil"/>
              <w:left w:val="nil"/>
              <w:bottom w:val="nil"/>
              <w:right w:val="nil"/>
            </w:tcBorders>
            <w:shd w:val="clear" w:color="auto" w:fill="auto"/>
            <w:vAlign w:val="bottom"/>
          </w:tcPr>
          <w:p w14:paraId="78B7C76D"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Cl</w:t>
            </w:r>
          </w:p>
        </w:tc>
        <w:tc>
          <w:tcPr>
            <w:tcW w:w="1860" w:type="dxa"/>
            <w:tcBorders>
              <w:top w:val="nil"/>
              <w:left w:val="nil"/>
              <w:bottom w:val="nil"/>
              <w:right w:val="nil"/>
            </w:tcBorders>
            <w:shd w:val="clear" w:color="auto" w:fill="auto"/>
            <w:vAlign w:val="bottom"/>
          </w:tcPr>
          <w:p w14:paraId="3D6AA320"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ppm</w:t>
            </w:r>
          </w:p>
        </w:tc>
        <w:tc>
          <w:tcPr>
            <w:tcW w:w="1500" w:type="dxa"/>
            <w:tcBorders>
              <w:top w:val="nil"/>
              <w:left w:val="nil"/>
              <w:bottom w:val="nil"/>
              <w:right w:val="nil"/>
            </w:tcBorders>
            <w:shd w:val="clear" w:color="auto" w:fill="auto"/>
            <w:vAlign w:val="center"/>
          </w:tcPr>
          <w:p w14:paraId="3F00C649"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5.5</w:t>
            </w:r>
          </w:p>
        </w:tc>
        <w:tc>
          <w:tcPr>
            <w:tcW w:w="1500" w:type="dxa"/>
            <w:tcBorders>
              <w:top w:val="nil"/>
              <w:left w:val="nil"/>
              <w:bottom w:val="nil"/>
              <w:right w:val="nil"/>
            </w:tcBorders>
            <w:shd w:val="clear" w:color="auto" w:fill="auto"/>
            <w:vAlign w:val="center"/>
          </w:tcPr>
          <w:p w14:paraId="1BC3B92F"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1.7</w:t>
            </w:r>
          </w:p>
        </w:tc>
        <w:tc>
          <w:tcPr>
            <w:tcW w:w="1500" w:type="dxa"/>
            <w:tcBorders>
              <w:top w:val="nil"/>
              <w:left w:val="nil"/>
              <w:bottom w:val="nil"/>
              <w:right w:val="nil"/>
            </w:tcBorders>
            <w:shd w:val="clear" w:color="auto" w:fill="auto"/>
            <w:vAlign w:val="center"/>
          </w:tcPr>
          <w:p w14:paraId="3EA411AC"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7.7</w:t>
            </w:r>
          </w:p>
        </w:tc>
        <w:tc>
          <w:tcPr>
            <w:tcW w:w="1500" w:type="dxa"/>
            <w:tcBorders>
              <w:top w:val="nil"/>
              <w:left w:val="nil"/>
              <w:bottom w:val="nil"/>
              <w:right w:val="nil"/>
            </w:tcBorders>
            <w:shd w:val="clear" w:color="auto" w:fill="auto"/>
            <w:vAlign w:val="center"/>
          </w:tcPr>
          <w:p w14:paraId="3746C5E8"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5.8</w:t>
            </w:r>
          </w:p>
        </w:tc>
      </w:tr>
      <w:tr w:rsidR="00485F92" w:rsidRPr="00FB00CA" w14:paraId="71BE0FA3" w14:textId="77777777">
        <w:trPr>
          <w:trHeight w:val="320"/>
        </w:trPr>
        <w:tc>
          <w:tcPr>
            <w:tcW w:w="1860" w:type="dxa"/>
            <w:tcBorders>
              <w:top w:val="nil"/>
              <w:left w:val="nil"/>
              <w:bottom w:val="nil"/>
              <w:right w:val="nil"/>
            </w:tcBorders>
            <w:shd w:val="clear" w:color="auto" w:fill="auto"/>
            <w:vAlign w:val="bottom"/>
          </w:tcPr>
          <w:p w14:paraId="2CB416DE"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F</w:t>
            </w:r>
          </w:p>
        </w:tc>
        <w:tc>
          <w:tcPr>
            <w:tcW w:w="1860" w:type="dxa"/>
            <w:tcBorders>
              <w:top w:val="nil"/>
              <w:left w:val="nil"/>
              <w:bottom w:val="nil"/>
              <w:right w:val="nil"/>
            </w:tcBorders>
            <w:shd w:val="clear" w:color="auto" w:fill="auto"/>
            <w:vAlign w:val="bottom"/>
          </w:tcPr>
          <w:p w14:paraId="13DE1226"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ppb</w:t>
            </w:r>
          </w:p>
        </w:tc>
        <w:tc>
          <w:tcPr>
            <w:tcW w:w="1500" w:type="dxa"/>
            <w:tcBorders>
              <w:top w:val="nil"/>
              <w:left w:val="nil"/>
              <w:bottom w:val="nil"/>
              <w:right w:val="nil"/>
            </w:tcBorders>
            <w:shd w:val="clear" w:color="auto" w:fill="auto"/>
            <w:vAlign w:val="center"/>
          </w:tcPr>
          <w:p w14:paraId="496B0AEE"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139.1</w:t>
            </w:r>
          </w:p>
        </w:tc>
        <w:tc>
          <w:tcPr>
            <w:tcW w:w="1500" w:type="dxa"/>
            <w:tcBorders>
              <w:top w:val="nil"/>
              <w:left w:val="nil"/>
              <w:bottom w:val="nil"/>
              <w:right w:val="nil"/>
            </w:tcBorders>
            <w:shd w:val="clear" w:color="auto" w:fill="auto"/>
            <w:vAlign w:val="center"/>
          </w:tcPr>
          <w:p w14:paraId="2A8F1F1C"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15.1</w:t>
            </w:r>
          </w:p>
        </w:tc>
        <w:tc>
          <w:tcPr>
            <w:tcW w:w="1500" w:type="dxa"/>
            <w:tcBorders>
              <w:top w:val="nil"/>
              <w:left w:val="nil"/>
              <w:bottom w:val="nil"/>
              <w:right w:val="nil"/>
            </w:tcBorders>
            <w:shd w:val="clear" w:color="auto" w:fill="auto"/>
            <w:vAlign w:val="center"/>
          </w:tcPr>
          <w:p w14:paraId="4FA9360F"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137.8</w:t>
            </w:r>
          </w:p>
        </w:tc>
        <w:tc>
          <w:tcPr>
            <w:tcW w:w="1500" w:type="dxa"/>
            <w:tcBorders>
              <w:top w:val="nil"/>
              <w:left w:val="nil"/>
              <w:bottom w:val="nil"/>
              <w:right w:val="nil"/>
            </w:tcBorders>
            <w:shd w:val="clear" w:color="auto" w:fill="auto"/>
            <w:vAlign w:val="center"/>
          </w:tcPr>
          <w:p w14:paraId="298BC2D4"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42.0</w:t>
            </w:r>
          </w:p>
        </w:tc>
      </w:tr>
      <w:tr w:rsidR="00485F92" w:rsidRPr="00FB00CA" w14:paraId="1091F9D0" w14:textId="77777777">
        <w:trPr>
          <w:trHeight w:val="320"/>
        </w:trPr>
        <w:tc>
          <w:tcPr>
            <w:tcW w:w="1860" w:type="dxa"/>
            <w:tcBorders>
              <w:top w:val="nil"/>
              <w:left w:val="nil"/>
              <w:bottom w:val="nil"/>
              <w:right w:val="nil"/>
            </w:tcBorders>
            <w:shd w:val="clear" w:color="auto" w:fill="auto"/>
            <w:vAlign w:val="bottom"/>
          </w:tcPr>
          <w:p w14:paraId="236ACB24"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PO</w:t>
            </w:r>
            <w:r w:rsidRPr="00FB00CA">
              <w:rPr>
                <w:rFonts w:ascii="Arial" w:hAnsi="Arial"/>
                <w:color w:val="000000"/>
                <w:sz w:val="22"/>
                <w:vertAlign w:val="subscript"/>
                <w:lang w:bidi="x-none"/>
              </w:rPr>
              <w:t>4</w:t>
            </w:r>
            <w:r w:rsidRPr="00FB00CA">
              <w:rPr>
                <w:rFonts w:ascii="Arial" w:hAnsi="Arial"/>
                <w:color w:val="000000"/>
                <w:sz w:val="22"/>
                <w:lang w:bidi="x-none"/>
              </w:rPr>
              <w:t>-P</w:t>
            </w:r>
          </w:p>
        </w:tc>
        <w:tc>
          <w:tcPr>
            <w:tcW w:w="1860" w:type="dxa"/>
            <w:tcBorders>
              <w:top w:val="nil"/>
              <w:left w:val="nil"/>
              <w:bottom w:val="nil"/>
              <w:right w:val="nil"/>
            </w:tcBorders>
            <w:shd w:val="clear" w:color="auto" w:fill="auto"/>
            <w:vAlign w:val="bottom"/>
          </w:tcPr>
          <w:p w14:paraId="52FFDF58"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ppb</w:t>
            </w:r>
          </w:p>
        </w:tc>
        <w:tc>
          <w:tcPr>
            <w:tcW w:w="1500" w:type="dxa"/>
            <w:tcBorders>
              <w:top w:val="nil"/>
              <w:left w:val="nil"/>
              <w:bottom w:val="nil"/>
              <w:right w:val="nil"/>
            </w:tcBorders>
            <w:shd w:val="clear" w:color="auto" w:fill="auto"/>
            <w:vAlign w:val="center"/>
          </w:tcPr>
          <w:p w14:paraId="3D2826CF"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47.1</w:t>
            </w:r>
          </w:p>
        </w:tc>
        <w:tc>
          <w:tcPr>
            <w:tcW w:w="1500" w:type="dxa"/>
            <w:tcBorders>
              <w:top w:val="nil"/>
              <w:left w:val="nil"/>
              <w:bottom w:val="nil"/>
              <w:right w:val="nil"/>
            </w:tcBorders>
            <w:shd w:val="clear" w:color="auto" w:fill="auto"/>
            <w:vAlign w:val="center"/>
          </w:tcPr>
          <w:p w14:paraId="4865A5FF"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21.6</w:t>
            </w:r>
          </w:p>
        </w:tc>
        <w:tc>
          <w:tcPr>
            <w:tcW w:w="1500" w:type="dxa"/>
            <w:tcBorders>
              <w:top w:val="nil"/>
              <w:left w:val="nil"/>
              <w:bottom w:val="nil"/>
              <w:right w:val="nil"/>
            </w:tcBorders>
            <w:shd w:val="clear" w:color="auto" w:fill="auto"/>
            <w:vAlign w:val="center"/>
          </w:tcPr>
          <w:p w14:paraId="7E9DF675"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15.2</w:t>
            </w:r>
          </w:p>
        </w:tc>
        <w:tc>
          <w:tcPr>
            <w:tcW w:w="1500" w:type="dxa"/>
            <w:tcBorders>
              <w:top w:val="nil"/>
              <w:left w:val="nil"/>
              <w:bottom w:val="nil"/>
              <w:right w:val="nil"/>
            </w:tcBorders>
            <w:shd w:val="clear" w:color="auto" w:fill="auto"/>
            <w:vAlign w:val="center"/>
          </w:tcPr>
          <w:p w14:paraId="0D04EA02"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3.2</w:t>
            </w:r>
          </w:p>
        </w:tc>
      </w:tr>
      <w:tr w:rsidR="00485F92" w:rsidRPr="00FB00CA" w14:paraId="5BBCC05C" w14:textId="77777777">
        <w:trPr>
          <w:trHeight w:val="320"/>
        </w:trPr>
        <w:tc>
          <w:tcPr>
            <w:tcW w:w="1860" w:type="dxa"/>
            <w:tcBorders>
              <w:top w:val="nil"/>
              <w:left w:val="nil"/>
              <w:bottom w:val="nil"/>
              <w:right w:val="nil"/>
            </w:tcBorders>
            <w:shd w:val="clear" w:color="auto" w:fill="auto"/>
            <w:vAlign w:val="bottom"/>
          </w:tcPr>
          <w:p w14:paraId="4B29650C"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NO</w:t>
            </w:r>
            <w:r w:rsidRPr="00FB00CA">
              <w:rPr>
                <w:rFonts w:ascii="Arial" w:hAnsi="Arial"/>
                <w:color w:val="000000"/>
                <w:sz w:val="22"/>
                <w:vertAlign w:val="subscript"/>
                <w:lang w:bidi="x-none"/>
              </w:rPr>
              <w:t>3</w:t>
            </w:r>
            <w:r w:rsidRPr="00FB00CA">
              <w:rPr>
                <w:rFonts w:ascii="Arial" w:hAnsi="Arial"/>
                <w:color w:val="000000"/>
                <w:sz w:val="22"/>
                <w:lang w:bidi="x-none"/>
              </w:rPr>
              <w:t>-N</w:t>
            </w:r>
          </w:p>
        </w:tc>
        <w:tc>
          <w:tcPr>
            <w:tcW w:w="1860" w:type="dxa"/>
            <w:tcBorders>
              <w:top w:val="nil"/>
              <w:left w:val="nil"/>
              <w:bottom w:val="nil"/>
              <w:right w:val="nil"/>
            </w:tcBorders>
            <w:shd w:val="clear" w:color="auto" w:fill="auto"/>
            <w:vAlign w:val="bottom"/>
          </w:tcPr>
          <w:p w14:paraId="0E1657F3"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ppb</w:t>
            </w:r>
          </w:p>
        </w:tc>
        <w:tc>
          <w:tcPr>
            <w:tcW w:w="1500" w:type="dxa"/>
            <w:tcBorders>
              <w:top w:val="nil"/>
              <w:left w:val="nil"/>
              <w:bottom w:val="nil"/>
              <w:right w:val="nil"/>
            </w:tcBorders>
            <w:shd w:val="clear" w:color="auto" w:fill="auto"/>
            <w:vAlign w:val="center"/>
          </w:tcPr>
          <w:p w14:paraId="0A38CFE9"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263.8</w:t>
            </w:r>
          </w:p>
        </w:tc>
        <w:tc>
          <w:tcPr>
            <w:tcW w:w="1500" w:type="dxa"/>
            <w:tcBorders>
              <w:top w:val="nil"/>
              <w:left w:val="nil"/>
              <w:bottom w:val="nil"/>
              <w:right w:val="nil"/>
            </w:tcBorders>
            <w:shd w:val="clear" w:color="auto" w:fill="auto"/>
            <w:vAlign w:val="center"/>
          </w:tcPr>
          <w:p w14:paraId="408CCDD3"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160.0</w:t>
            </w:r>
          </w:p>
        </w:tc>
        <w:tc>
          <w:tcPr>
            <w:tcW w:w="1500" w:type="dxa"/>
            <w:tcBorders>
              <w:top w:val="nil"/>
              <w:left w:val="nil"/>
              <w:bottom w:val="nil"/>
              <w:right w:val="nil"/>
            </w:tcBorders>
            <w:shd w:val="clear" w:color="auto" w:fill="auto"/>
            <w:vAlign w:val="center"/>
          </w:tcPr>
          <w:p w14:paraId="74C0E99F"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63.1</w:t>
            </w:r>
          </w:p>
        </w:tc>
        <w:tc>
          <w:tcPr>
            <w:tcW w:w="1500" w:type="dxa"/>
            <w:tcBorders>
              <w:top w:val="nil"/>
              <w:left w:val="nil"/>
              <w:bottom w:val="nil"/>
              <w:right w:val="nil"/>
            </w:tcBorders>
            <w:shd w:val="clear" w:color="auto" w:fill="auto"/>
            <w:vAlign w:val="center"/>
          </w:tcPr>
          <w:p w14:paraId="27CF6E07"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52.8</w:t>
            </w:r>
          </w:p>
        </w:tc>
      </w:tr>
      <w:tr w:rsidR="00485F92" w:rsidRPr="00FB00CA" w14:paraId="692AB592" w14:textId="77777777">
        <w:trPr>
          <w:trHeight w:val="320"/>
        </w:trPr>
        <w:tc>
          <w:tcPr>
            <w:tcW w:w="1860" w:type="dxa"/>
            <w:tcBorders>
              <w:top w:val="nil"/>
              <w:left w:val="nil"/>
              <w:bottom w:val="nil"/>
              <w:right w:val="nil"/>
            </w:tcBorders>
            <w:shd w:val="clear" w:color="auto" w:fill="auto"/>
            <w:vAlign w:val="center"/>
          </w:tcPr>
          <w:p w14:paraId="732C5DA3"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Ca</w:t>
            </w:r>
          </w:p>
        </w:tc>
        <w:tc>
          <w:tcPr>
            <w:tcW w:w="1860" w:type="dxa"/>
            <w:tcBorders>
              <w:top w:val="nil"/>
              <w:left w:val="nil"/>
              <w:bottom w:val="nil"/>
              <w:right w:val="nil"/>
            </w:tcBorders>
            <w:shd w:val="clear" w:color="auto" w:fill="auto"/>
            <w:vAlign w:val="bottom"/>
          </w:tcPr>
          <w:p w14:paraId="08113CB7"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ppm</w:t>
            </w:r>
          </w:p>
        </w:tc>
        <w:tc>
          <w:tcPr>
            <w:tcW w:w="1500" w:type="dxa"/>
            <w:tcBorders>
              <w:top w:val="nil"/>
              <w:left w:val="nil"/>
              <w:bottom w:val="nil"/>
              <w:right w:val="nil"/>
            </w:tcBorders>
            <w:shd w:val="clear" w:color="auto" w:fill="auto"/>
            <w:noWrap/>
            <w:vAlign w:val="bottom"/>
          </w:tcPr>
          <w:p w14:paraId="1852EDC2"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93.8</w:t>
            </w:r>
          </w:p>
        </w:tc>
        <w:tc>
          <w:tcPr>
            <w:tcW w:w="1500" w:type="dxa"/>
            <w:tcBorders>
              <w:top w:val="nil"/>
              <w:left w:val="nil"/>
              <w:bottom w:val="nil"/>
              <w:right w:val="nil"/>
            </w:tcBorders>
            <w:shd w:val="clear" w:color="auto" w:fill="auto"/>
            <w:noWrap/>
            <w:vAlign w:val="bottom"/>
          </w:tcPr>
          <w:p w14:paraId="4077E492"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17.9</w:t>
            </w:r>
          </w:p>
        </w:tc>
        <w:tc>
          <w:tcPr>
            <w:tcW w:w="1500" w:type="dxa"/>
            <w:tcBorders>
              <w:top w:val="nil"/>
              <w:left w:val="nil"/>
              <w:bottom w:val="nil"/>
              <w:right w:val="nil"/>
            </w:tcBorders>
            <w:shd w:val="clear" w:color="auto" w:fill="auto"/>
            <w:noWrap/>
            <w:vAlign w:val="bottom"/>
          </w:tcPr>
          <w:p w14:paraId="52889E9D"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46.2</w:t>
            </w:r>
          </w:p>
        </w:tc>
        <w:tc>
          <w:tcPr>
            <w:tcW w:w="1500" w:type="dxa"/>
            <w:tcBorders>
              <w:top w:val="nil"/>
              <w:left w:val="nil"/>
              <w:bottom w:val="nil"/>
              <w:right w:val="nil"/>
            </w:tcBorders>
            <w:shd w:val="clear" w:color="auto" w:fill="auto"/>
            <w:noWrap/>
            <w:vAlign w:val="bottom"/>
          </w:tcPr>
          <w:p w14:paraId="5E39C440"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17.6</w:t>
            </w:r>
          </w:p>
        </w:tc>
      </w:tr>
      <w:tr w:rsidR="00485F92" w:rsidRPr="00FB00CA" w14:paraId="5F5A6C60" w14:textId="77777777">
        <w:trPr>
          <w:trHeight w:val="320"/>
        </w:trPr>
        <w:tc>
          <w:tcPr>
            <w:tcW w:w="1860" w:type="dxa"/>
            <w:tcBorders>
              <w:top w:val="nil"/>
              <w:left w:val="nil"/>
              <w:bottom w:val="nil"/>
              <w:right w:val="nil"/>
            </w:tcBorders>
            <w:shd w:val="clear" w:color="auto" w:fill="auto"/>
            <w:vAlign w:val="center"/>
          </w:tcPr>
          <w:p w14:paraId="26849894"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Mg</w:t>
            </w:r>
          </w:p>
        </w:tc>
        <w:tc>
          <w:tcPr>
            <w:tcW w:w="1860" w:type="dxa"/>
            <w:tcBorders>
              <w:top w:val="nil"/>
              <w:left w:val="nil"/>
              <w:bottom w:val="nil"/>
              <w:right w:val="nil"/>
            </w:tcBorders>
            <w:shd w:val="clear" w:color="auto" w:fill="auto"/>
            <w:vAlign w:val="bottom"/>
          </w:tcPr>
          <w:p w14:paraId="47DE26E1"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ppm</w:t>
            </w:r>
          </w:p>
        </w:tc>
        <w:tc>
          <w:tcPr>
            <w:tcW w:w="1500" w:type="dxa"/>
            <w:tcBorders>
              <w:top w:val="nil"/>
              <w:left w:val="nil"/>
              <w:bottom w:val="nil"/>
              <w:right w:val="nil"/>
            </w:tcBorders>
            <w:shd w:val="clear" w:color="auto" w:fill="auto"/>
            <w:noWrap/>
            <w:vAlign w:val="bottom"/>
          </w:tcPr>
          <w:p w14:paraId="308659A9"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33.3</w:t>
            </w:r>
          </w:p>
        </w:tc>
        <w:tc>
          <w:tcPr>
            <w:tcW w:w="1500" w:type="dxa"/>
            <w:tcBorders>
              <w:top w:val="nil"/>
              <w:left w:val="nil"/>
              <w:bottom w:val="nil"/>
              <w:right w:val="nil"/>
            </w:tcBorders>
            <w:shd w:val="clear" w:color="auto" w:fill="auto"/>
            <w:noWrap/>
            <w:vAlign w:val="bottom"/>
          </w:tcPr>
          <w:p w14:paraId="2D2A6CA8"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7.5</w:t>
            </w:r>
          </w:p>
        </w:tc>
        <w:tc>
          <w:tcPr>
            <w:tcW w:w="1500" w:type="dxa"/>
            <w:tcBorders>
              <w:top w:val="nil"/>
              <w:left w:val="nil"/>
              <w:bottom w:val="nil"/>
              <w:right w:val="nil"/>
            </w:tcBorders>
            <w:shd w:val="clear" w:color="auto" w:fill="auto"/>
            <w:noWrap/>
            <w:vAlign w:val="bottom"/>
          </w:tcPr>
          <w:p w14:paraId="4F972EB7"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20.4</w:t>
            </w:r>
          </w:p>
        </w:tc>
        <w:tc>
          <w:tcPr>
            <w:tcW w:w="1500" w:type="dxa"/>
            <w:tcBorders>
              <w:top w:val="nil"/>
              <w:left w:val="nil"/>
              <w:bottom w:val="nil"/>
              <w:right w:val="nil"/>
            </w:tcBorders>
            <w:shd w:val="clear" w:color="auto" w:fill="auto"/>
            <w:noWrap/>
            <w:vAlign w:val="bottom"/>
          </w:tcPr>
          <w:p w14:paraId="75E7F978"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3.9</w:t>
            </w:r>
          </w:p>
        </w:tc>
      </w:tr>
      <w:tr w:rsidR="00485F92" w:rsidRPr="00FB00CA" w14:paraId="5A90678C" w14:textId="77777777">
        <w:trPr>
          <w:trHeight w:val="320"/>
        </w:trPr>
        <w:tc>
          <w:tcPr>
            <w:tcW w:w="1860" w:type="dxa"/>
            <w:tcBorders>
              <w:top w:val="nil"/>
              <w:left w:val="nil"/>
              <w:bottom w:val="nil"/>
              <w:right w:val="nil"/>
            </w:tcBorders>
            <w:shd w:val="clear" w:color="auto" w:fill="auto"/>
            <w:vAlign w:val="center"/>
          </w:tcPr>
          <w:p w14:paraId="2AFC7B6A"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Na</w:t>
            </w:r>
          </w:p>
        </w:tc>
        <w:tc>
          <w:tcPr>
            <w:tcW w:w="1860" w:type="dxa"/>
            <w:tcBorders>
              <w:top w:val="nil"/>
              <w:left w:val="nil"/>
              <w:bottom w:val="nil"/>
              <w:right w:val="nil"/>
            </w:tcBorders>
            <w:shd w:val="clear" w:color="auto" w:fill="auto"/>
            <w:vAlign w:val="bottom"/>
          </w:tcPr>
          <w:p w14:paraId="3317517F"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ppm</w:t>
            </w:r>
          </w:p>
        </w:tc>
        <w:tc>
          <w:tcPr>
            <w:tcW w:w="1500" w:type="dxa"/>
            <w:tcBorders>
              <w:top w:val="nil"/>
              <w:left w:val="nil"/>
              <w:bottom w:val="nil"/>
              <w:right w:val="nil"/>
            </w:tcBorders>
            <w:shd w:val="clear" w:color="auto" w:fill="auto"/>
            <w:noWrap/>
            <w:vAlign w:val="bottom"/>
          </w:tcPr>
          <w:p w14:paraId="209E53A0"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5.5</w:t>
            </w:r>
          </w:p>
        </w:tc>
        <w:tc>
          <w:tcPr>
            <w:tcW w:w="1500" w:type="dxa"/>
            <w:tcBorders>
              <w:top w:val="nil"/>
              <w:left w:val="nil"/>
              <w:bottom w:val="nil"/>
              <w:right w:val="nil"/>
            </w:tcBorders>
            <w:shd w:val="clear" w:color="auto" w:fill="auto"/>
            <w:noWrap/>
            <w:vAlign w:val="bottom"/>
          </w:tcPr>
          <w:p w14:paraId="74FAD679"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1.3</w:t>
            </w:r>
          </w:p>
        </w:tc>
        <w:tc>
          <w:tcPr>
            <w:tcW w:w="1500" w:type="dxa"/>
            <w:tcBorders>
              <w:top w:val="nil"/>
              <w:left w:val="nil"/>
              <w:bottom w:val="nil"/>
              <w:right w:val="nil"/>
            </w:tcBorders>
            <w:shd w:val="clear" w:color="auto" w:fill="auto"/>
            <w:noWrap/>
            <w:vAlign w:val="bottom"/>
          </w:tcPr>
          <w:p w14:paraId="5602C662"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3.2</w:t>
            </w:r>
          </w:p>
        </w:tc>
        <w:tc>
          <w:tcPr>
            <w:tcW w:w="1500" w:type="dxa"/>
            <w:tcBorders>
              <w:top w:val="nil"/>
              <w:left w:val="nil"/>
              <w:bottom w:val="nil"/>
              <w:right w:val="nil"/>
            </w:tcBorders>
            <w:shd w:val="clear" w:color="auto" w:fill="auto"/>
            <w:noWrap/>
            <w:vAlign w:val="bottom"/>
          </w:tcPr>
          <w:p w14:paraId="43818321"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0.9</w:t>
            </w:r>
          </w:p>
        </w:tc>
      </w:tr>
      <w:tr w:rsidR="00485F92" w:rsidRPr="00FB00CA" w14:paraId="2D2622D3" w14:textId="77777777">
        <w:trPr>
          <w:trHeight w:val="320"/>
        </w:trPr>
        <w:tc>
          <w:tcPr>
            <w:tcW w:w="1860" w:type="dxa"/>
            <w:tcBorders>
              <w:top w:val="nil"/>
              <w:left w:val="nil"/>
              <w:bottom w:val="nil"/>
              <w:right w:val="nil"/>
            </w:tcBorders>
            <w:shd w:val="clear" w:color="auto" w:fill="auto"/>
            <w:vAlign w:val="center"/>
          </w:tcPr>
          <w:p w14:paraId="70E1488A"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K</w:t>
            </w:r>
          </w:p>
        </w:tc>
        <w:tc>
          <w:tcPr>
            <w:tcW w:w="1860" w:type="dxa"/>
            <w:tcBorders>
              <w:top w:val="nil"/>
              <w:left w:val="nil"/>
              <w:bottom w:val="nil"/>
              <w:right w:val="nil"/>
            </w:tcBorders>
            <w:shd w:val="clear" w:color="auto" w:fill="auto"/>
            <w:vAlign w:val="bottom"/>
          </w:tcPr>
          <w:p w14:paraId="0DA8B871"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ppm</w:t>
            </w:r>
          </w:p>
        </w:tc>
        <w:tc>
          <w:tcPr>
            <w:tcW w:w="1500" w:type="dxa"/>
            <w:tcBorders>
              <w:top w:val="nil"/>
              <w:left w:val="nil"/>
              <w:bottom w:val="nil"/>
              <w:right w:val="nil"/>
            </w:tcBorders>
            <w:shd w:val="clear" w:color="auto" w:fill="auto"/>
            <w:noWrap/>
            <w:vAlign w:val="bottom"/>
          </w:tcPr>
          <w:p w14:paraId="1CB88684"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6.9</w:t>
            </w:r>
          </w:p>
        </w:tc>
        <w:tc>
          <w:tcPr>
            <w:tcW w:w="1500" w:type="dxa"/>
            <w:tcBorders>
              <w:top w:val="nil"/>
              <w:left w:val="nil"/>
              <w:bottom w:val="nil"/>
              <w:right w:val="nil"/>
            </w:tcBorders>
            <w:shd w:val="clear" w:color="auto" w:fill="auto"/>
            <w:noWrap/>
            <w:vAlign w:val="bottom"/>
          </w:tcPr>
          <w:p w14:paraId="6E0D4A05"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1.8</w:t>
            </w:r>
          </w:p>
        </w:tc>
        <w:tc>
          <w:tcPr>
            <w:tcW w:w="1500" w:type="dxa"/>
            <w:tcBorders>
              <w:top w:val="nil"/>
              <w:left w:val="nil"/>
              <w:bottom w:val="nil"/>
              <w:right w:val="nil"/>
            </w:tcBorders>
            <w:shd w:val="clear" w:color="auto" w:fill="auto"/>
            <w:noWrap/>
            <w:vAlign w:val="bottom"/>
          </w:tcPr>
          <w:p w14:paraId="0EDD9A61"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2.0</w:t>
            </w:r>
          </w:p>
        </w:tc>
        <w:tc>
          <w:tcPr>
            <w:tcW w:w="1500" w:type="dxa"/>
            <w:tcBorders>
              <w:top w:val="nil"/>
              <w:left w:val="nil"/>
              <w:bottom w:val="nil"/>
              <w:right w:val="nil"/>
            </w:tcBorders>
            <w:shd w:val="clear" w:color="auto" w:fill="auto"/>
            <w:noWrap/>
            <w:vAlign w:val="bottom"/>
          </w:tcPr>
          <w:p w14:paraId="667838C1"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0.3</w:t>
            </w:r>
          </w:p>
        </w:tc>
      </w:tr>
      <w:tr w:rsidR="00485F92" w:rsidRPr="00FB00CA" w14:paraId="6E49D66C" w14:textId="77777777">
        <w:trPr>
          <w:trHeight w:val="320"/>
        </w:trPr>
        <w:tc>
          <w:tcPr>
            <w:tcW w:w="1860" w:type="dxa"/>
            <w:tcBorders>
              <w:top w:val="nil"/>
              <w:left w:val="nil"/>
              <w:bottom w:val="nil"/>
              <w:right w:val="nil"/>
            </w:tcBorders>
            <w:shd w:val="clear" w:color="auto" w:fill="auto"/>
            <w:vAlign w:val="center"/>
          </w:tcPr>
          <w:p w14:paraId="2B12C2E8"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Si</w:t>
            </w:r>
          </w:p>
        </w:tc>
        <w:tc>
          <w:tcPr>
            <w:tcW w:w="1860" w:type="dxa"/>
            <w:tcBorders>
              <w:top w:val="nil"/>
              <w:left w:val="nil"/>
              <w:bottom w:val="nil"/>
              <w:right w:val="nil"/>
            </w:tcBorders>
            <w:shd w:val="clear" w:color="auto" w:fill="auto"/>
            <w:vAlign w:val="bottom"/>
          </w:tcPr>
          <w:p w14:paraId="09CC1859"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ppm</w:t>
            </w:r>
          </w:p>
        </w:tc>
        <w:tc>
          <w:tcPr>
            <w:tcW w:w="1500" w:type="dxa"/>
            <w:tcBorders>
              <w:top w:val="nil"/>
              <w:left w:val="nil"/>
              <w:bottom w:val="nil"/>
              <w:right w:val="nil"/>
            </w:tcBorders>
            <w:shd w:val="clear" w:color="auto" w:fill="auto"/>
            <w:noWrap/>
            <w:vAlign w:val="center"/>
          </w:tcPr>
          <w:p w14:paraId="75CECE8B"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3.76</w:t>
            </w:r>
          </w:p>
        </w:tc>
        <w:tc>
          <w:tcPr>
            <w:tcW w:w="1500" w:type="dxa"/>
            <w:tcBorders>
              <w:top w:val="nil"/>
              <w:left w:val="nil"/>
              <w:bottom w:val="nil"/>
              <w:right w:val="nil"/>
            </w:tcBorders>
            <w:shd w:val="clear" w:color="auto" w:fill="auto"/>
            <w:noWrap/>
            <w:vAlign w:val="center"/>
          </w:tcPr>
          <w:p w14:paraId="19D69DE3"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1.49</w:t>
            </w:r>
          </w:p>
        </w:tc>
        <w:tc>
          <w:tcPr>
            <w:tcW w:w="1500" w:type="dxa"/>
            <w:tcBorders>
              <w:top w:val="nil"/>
              <w:left w:val="nil"/>
              <w:bottom w:val="nil"/>
              <w:right w:val="nil"/>
            </w:tcBorders>
            <w:shd w:val="clear" w:color="auto" w:fill="auto"/>
            <w:noWrap/>
            <w:vAlign w:val="center"/>
          </w:tcPr>
          <w:p w14:paraId="5973DCD0"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1.70</w:t>
            </w:r>
          </w:p>
        </w:tc>
        <w:tc>
          <w:tcPr>
            <w:tcW w:w="1500" w:type="dxa"/>
            <w:tcBorders>
              <w:top w:val="nil"/>
              <w:left w:val="nil"/>
              <w:bottom w:val="nil"/>
              <w:right w:val="nil"/>
            </w:tcBorders>
            <w:shd w:val="clear" w:color="auto" w:fill="auto"/>
            <w:noWrap/>
            <w:vAlign w:val="center"/>
          </w:tcPr>
          <w:p w14:paraId="4CEAFF1D"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1.26</w:t>
            </w:r>
          </w:p>
        </w:tc>
      </w:tr>
      <w:tr w:rsidR="00485F92" w:rsidRPr="00FB00CA" w14:paraId="59B2C334" w14:textId="77777777">
        <w:trPr>
          <w:trHeight w:val="320"/>
        </w:trPr>
        <w:tc>
          <w:tcPr>
            <w:tcW w:w="1860" w:type="dxa"/>
            <w:tcBorders>
              <w:top w:val="nil"/>
              <w:left w:val="nil"/>
              <w:right w:val="nil"/>
            </w:tcBorders>
            <w:shd w:val="clear" w:color="auto" w:fill="auto"/>
            <w:vAlign w:val="center"/>
          </w:tcPr>
          <w:p w14:paraId="21B3D3BD"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Sr</w:t>
            </w:r>
          </w:p>
        </w:tc>
        <w:tc>
          <w:tcPr>
            <w:tcW w:w="1860" w:type="dxa"/>
            <w:tcBorders>
              <w:top w:val="nil"/>
              <w:left w:val="nil"/>
              <w:right w:val="nil"/>
            </w:tcBorders>
            <w:shd w:val="clear" w:color="auto" w:fill="auto"/>
            <w:vAlign w:val="bottom"/>
          </w:tcPr>
          <w:p w14:paraId="0ACEBFB9" w14:textId="77777777" w:rsidR="00485F92" w:rsidRPr="00FB00CA" w:rsidRDefault="00485F92" w:rsidP="00485F92">
            <w:pPr>
              <w:jc w:val="center"/>
              <w:rPr>
                <w:rFonts w:ascii="Geneva" w:hAnsi="Geneva"/>
                <w:color w:val="000000"/>
                <w:sz w:val="22"/>
                <w:lang w:bidi="x-none"/>
              </w:rPr>
            </w:pPr>
            <w:r w:rsidRPr="00FB00CA">
              <w:rPr>
                <w:rFonts w:ascii="Arial" w:hAnsi="Arial"/>
                <w:color w:val="000000"/>
                <w:sz w:val="22"/>
                <w:lang w:bidi="x-none"/>
              </w:rPr>
              <w:t>ppb</w:t>
            </w:r>
          </w:p>
        </w:tc>
        <w:tc>
          <w:tcPr>
            <w:tcW w:w="1500" w:type="dxa"/>
            <w:tcBorders>
              <w:top w:val="nil"/>
              <w:left w:val="nil"/>
              <w:right w:val="nil"/>
            </w:tcBorders>
            <w:shd w:val="clear" w:color="auto" w:fill="auto"/>
            <w:noWrap/>
            <w:vAlign w:val="center"/>
          </w:tcPr>
          <w:p w14:paraId="389DC951"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211.0</w:t>
            </w:r>
          </w:p>
        </w:tc>
        <w:tc>
          <w:tcPr>
            <w:tcW w:w="1500" w:type="dxa"/>
            <w:tcBorders>
              <w:top w:val="nil"/>
              <w:left w:val="nil"/>
              <w:right w:val="nil"/>
            </w:tcBorders>
            <w:shd w:val="clear" w:color="auto" w:fill="auto"/>
            <w:noWrap/>
            <w:vAlign w:val="center"/>
          </w:tcPr>
          <w:p w14:paraId="1840E93E"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40.8</w:t>
            </w:r>
          </w:p>
        </w:tc>
        <w:tc>
          <w:tcPr>
            <w:tcW w:w="1500" w:type="dxa"/>
            <w:tcBorders>
              <w:top w:val="nil"/>
              <w:left w:val="nil"/>
              <w:right w:val="nil"/>
            </w:tcBorders>
            <w:shd w:val="clear" w:color="auto" w:fill="auto"/>
            <w:noWrap/>
            <w:vAlign w:val="center"/>
          </w:tcPr>
          <w:p w14:paraId="0D40A793"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108.9</w:t>
            </w:r>
          </w:p>
        </w:tc>
        <w:tc>
          <w:tcPr>
            <w:tcW w:w="1500" w:type="dxa"/>
            <w:tcBorders>
              <w:top w:val="nil"/>
              <w:left w:val="nil"/>
              <w:right w:val="nil"/>
            </w:tcBorders>
            <w:shd w:val="clear" w:color="auto" w:fill="auto"/>
            <w:noWrap/>
            <w:vAlign w:val="center"/>
          </w:tcPr>
          <w:p w14:paraId="046960C9"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29.1</w:t>
            </w:r>
          </w:p>
        </w:tc>
      </w:tr>
      <w:tr w:rsidR="00485F92" w:rsidRPr="00FB00CA" w14:paraId="53D8848C" w14:textId="77777777">
        <w:trPr>
          <w:trHeight w:val="320"/>
        </w:trPr>
        <w:tc>
          <w:tcPr>
            <w:tcW w:w="1860" w:type="dxa"/>
            <w:tcBorders>
              <w:top w:val="nil"/>
              <w:left w:val="nil"/>
              <w:bottom w:val="single" w:sz="6" w:space="0" w:color="auto"/>
              <w:right w:val="nil"/>
            </w:tcBorders>
            <w:shd w:val="clear" w:color="auto" w:fill="auto"/>
            <w:vAlign w:val="center"/>
          </w:tcPr>
          <w:p w14:paraId="39F786F8" w14:textId="77777777" w:rsidR="00485F92" w:rsidRPr="00FB00CA" w:rsidRDefault="00485F92" w:rsidP="00485F92">
            <w:pPr>
              <w:spacing w:after="60"/>
              <w:jc w:val="center"/>
              <w:rPr>
                <w:rFonts w:ascii="Geneva" w:hAnsi="Geneva"/>
                <w:color w:val="000000"/>
                <w:sz w:val="22"/>
                <w:lang w:bidi="x-none"/>
              </w:rPr>
            </w:pPr>
            <w:r w:rsidRPr="00FB00CA">
              <w:rPr>
                <w:rFonts w:ascii="Arial" w:hAnsi="Arial"/>
                <w:color w:val="000000"/>
                <w:sz w:val="22"/>
                <w:lang w:bidi="x-none"/>
              </w:rPr>
              <w:t>Ba</w:t>
            </w:r>
          </w:p>
        </w:tc>
        <w:tc>
          <w:tcPr>
            <w:tcW w:w="1860" w:type="dxa"/>
            <w:tcBorders>
              <w:top w:val="nil"/>
              <w:left w:val="nil"/>
              <w:bottom w:val="single" w:sz="6" w:space="0" w:color="auto"/>
              <w:right w:val="nil"/>
            </w:tcBorders>
            <w:shd w:val="clear" w:color="auto" w:fill="auto"/>
            <w:vAlign w:val="bottom"/>
          </w:tcPr>
          <w:p w14:paraId="6801B334" w14:textId="77777777" w:rsidR="00485F92" w:rsidRPr="00FB00CA" w:rsidRDefault="00485F92" w:rsidP="00485F92">
            <w:pPr>
              <w:spacing w:after="60"/>
              <w:jc w:val="center"/>
              <w:rPr>
                <w:rFonts w:ascii="Geneva" w:hAnsi="Geneva"/>
                <w:color w:val="000000"/>
                <w:sz w:val="22"/>
                <w:lang w:bidi="x-none"/>
              </w:rPr>
            </w:pPr>
            <w:r w:rsidRPr="00FB00CA">
              <w:rPr>
                <w:rFonts w:ascii="Arial" w:hAnsi="Arial"/>
                <w:color w:val="000000"/>
                <w:sz w:val="22"/>
                <w:lang w:bidi="x-none"/>
              </w:rPr>
              <w:t>ppb</w:t>
            </w:r>
          </w:p>
        </w:tc>
        <w:tc>
          <w:tcPr>
            <w:tcW w:w="1500" w:type="dxa"/>
            <w:tcBorders>
              <w:top w:val="nil"/>
              <w:left w:val="nil"/>
              <w:bottom w:val="single" w:sz="6" w:space="0" w:color="auto"/>
              <w:right w:val="nil"/>
            </w:tcBorders>
            <w:shd w:val="clear" w:color="auto" w:fill="auto"/>
            <w:noWrap/>
            <w:vAlign w:val="center"/>
          </w:tcPr>
          <w:p w14:paraId="2444CD4D"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43.6</w:t>
            </w:r>
          </w:p>
        </w:tc>
        <w:tc>
          <w:tcPr>
            <w:tcW w:w="1500" w:type="dxa"/>
            <w:tcBorders>
              <w:top w:val="nil"/>
              <w:left w:val="nil"/>
              <w:bottom w:val="single" w:sz="6" w:space="0" w:color="auto"/>
              <w:right w:val="nil"/>
            </w:tcBorders>
            <w:shd w:val="clear" w:color="auto" w:fill="auto"/>
            <w:noWrap/>
            <w:vAlign w:val="center"/>
          </w:tcPr>
          <w:p w14:paraId="7E84BCAA"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7.7</w:t>
            </w:r>
          </w:p>
        </w:tc>
        <w:tc>
          <w:tcPr>
            <w:tcW w:w="1500" w:type="dxa"/>
            <w:tcBorders>
              <w:top w:val="nil"/>
              <w:left w:val="nil"/>
              <w:bottom w:val="single" w:sz="6" w:space="0" w:color="auto"/>
              <w:right w:val="nil"/>
            </w:tcBorders>
            <w:shd w:val="clear" w:color="auto" w:fill="auto"/>
            <w:noWrap/>
            <w:vAlign w:val="center"/>
          </w:tcPr>
          <w:p w14:paraId="4546C0B7"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24.8</w:t>
            </w:r>
          </w:p>
        </w:tc>
        <w:tc>
          <w:tcPr>
            <w:tcW w:w="1500" w:type="dxa"/>
            <w:tcBorders>
              <w:top w:val="nil"/>
              <w:left w:val="nil"/>
              <w:bottom w:val="single" w:sz="6" w:space="0" w:color="auto"/>
              <w:right w:val="nil"/>
            </w:tcBorders>
            <w:shd w:val="clear" w:color="auto" w:fill="auto"/>
            <w:noWrap/>
            <w:vAlign w:val="center"/>
          </w:tcPr>
          <w:p w14:paraId="465C092B" w14:textId="77777777" w:rsidR="00485F92" w:rsidRPr="00FB00CA" w:rsidRDefault="00485F92" w:rsidP="00485F92">
            <w:pPr>
              <w:ind w:right="412"/>
              <w:jc w:val="right"/>
              <w:rPr>
                <w:rFonts w:ascii="Geneva" w:hAnsi="Geneva"/>
                <w:sz w:val="22"/>
                <w:lang w:bidi="x-none"/>
              </w:rPr>
            </w:pPr>
            <w:r w:rsidRPr="00FB00CA">
              <w:rPr>
                <w:rFonts w:ascii="Arial" w:hAnsi="Arial"/>
                <w:sz w:val="22"/>
                <w:lang w:bidi="x-none"/>
              </w:rPr>
              <w:t>8.7</w:t>
            </w:r>
          </w:p>
        </w:tc>
      </w:tr>
    </w:tbl>
    <w:p w14:paraId="3461C51A" w14:textId="77777777" w:rsidR="00485F92" w:rsidRDefault="00485F92" w:rsidP="00485F92">
      <w:pPr>
        <w:ind w:left="720" w:hanging="720"/>
      </w:pPr>
    </w:p>
    <w:p w14:paraId="25D352E9" w14:textId="77777777" w:rsidR="00485F92" w:rsidRDefault="00485F92" w:rsidP="00485F92">
      <w:pPr>
        <w:ind w:left="720" w:hanging="720"/>
      </w:pPr>
      <w:r>
        <w:br w:type="page"/>
      </w:r>
      <w:r>
        <w:lastRenderedPageBreak/>
        <w:t xml:space="preserve">Table 3. Annual means (± 1 </w:t>
      </w:r>
      <w:proofErr w:type="spellStart"/>
      <w:r>
        <w:t>s.d.</w:t>
      </w:r>
      <w:proofErr w:type="spellEnd"/>
      <w:r>
        <w:t>) and medians for mercury levels in sediments, amphipods (</w:t>
      </w:r>
      <w:proofErr w:type="spellStart"/>
      <w:r w:rsidRPr="00FB00CA">
        <w:rPr>
          <w:i/>
        </w:rPr>
        <w:t>Gammarus</w:t>
      </w:r>
      <w:proofErr w:type="spellEnd"/>
      <w:r>
        <w:t>), and fish (sticklebacks) in the Headquarters and Agassiz pools, 2009 – 2011.</w:t>
      </w:r>
    </w:p>
    <w:p w14:paraId="37206DAA" w14:textId="77777777" w:rsidR="00485F92" w:rsidRDefault="00485F92" w:rsidP="00485F92">
      <w:pPr>
        <w:ind w:left="720" w:hanging="720"/>
      </w:pPr>
    </w:p>
    <w:tbl>
      <w:tblPr>
        <w:tblW w:w="9424" w:type="dxa"/>
        <w:tblInd w:w="88" w:type="dxa"/>
        <w:tblLook w:val="0000" w:firstRow="0" w:lastRow="0" w:firstColumn="0" w:lastColumn="0" w:noHBand="0" w:noVBand="0"/>
      </w:tblPr>
      <w:tblGrid>
        <w:gridCol w:w="2180"/>
        <w:gridCol w:w="1487"/>
        <w:gridCol w:w="645"/>
        <w:gridCol w:w="1490"/>
        <w:gridCol w:w="1487"/>
        <w:gridCol w:w="645"/>
        <w:gridCol w:w="1490"/>
      </w:tblGrid>
      <w:tr w:rsidR="00485F92" w:rsidRPr="00FB00CA" w14:paraId="118EEA30" w14:textId="77777777">
        <w:trPr>
          <w:trHeight w:val="260"/>
        </w:trPr>
        <w:tc>
          <w:tcPr>
            <w:tcW w:w="2180" w:type="dxa"/>
            <w:tcBorders>
              <w:top w:val="single" w:sz="6" w:space="0" w:color="auto"/>
              <w:left w:val="nil"/>
              <w:bottom w:val="nil"/>
              <w:right w:val="nil"/>
            </w:tcBorders>
            <w:shd w:val="clear" w:color="auto" w:fill="auto"/>
            <w:noWrap/>
            <w:vAlign w:val="bottom"/>
          </w:tcPr>
          <w:p w14:paraId="721BF55C" w14:textId="77777777" w:rsidR="00485F92" w:rsidRPr="00FB00CA" w:rsidRDefault="00485F92" w:rsidP="00485F92">
            <w:pPr>
              <w:spacing w:before="60"/>
              <w:rPr>
                <w:rFonts w:ascii="Geneva" w:hAnsi="Geneva"/>
                <w:sz w:val="22"/>
                <w:lang w:bidi="x-none"/>
              </w:rPr>
            </w:pPr>
            <w:r w:rsidRPr="00FB00CA">
              <w:rPr>
                <w:rFonts w:ascii="Arial" w:hAnsi="Arial"/>
                <w:b/>
                <w:sz w:val="22"/>
                <w:lang w:bidi="x-none"/>
              </w:rPr>
              <w:t>Sediments</w:t>
            </w:r>
          </w:p>
        </w:tc>
        <w:tc>
          <w:tcPr>
            <w:tcW w:w="3622" w:type="dxa"/>
            <w:gridSpan w:val="3"/>
            <w:tcBorders>
              <w:top w:val="single" w:sz="6" w:space="0" w:color="auto"/>
              <w:left w:val="nil"/>
              <w:bottom w:val="nil"/>
              <w:right w:val="nil"/>
            </w:tcBorders>
            <w:shd w:val="clear" w:color="auto" w:fill="auto"/>
            <w:noWrap/>
            <w:vAlign w:val="bottom"/>
          </w:tcPr>
          <w:p w14:paraId="35A0CC20" w14:textId="77777777" w:rsidR="00485F92" w:rsidRPr="00FB00CA" w:rsidRDefault="00485F92" w:rsidP="00485F92">
            <w:pPr>
              <w:spacing w:before="60"/>
              <w:jc w:val="center"/>
              <w:rPr>
                <w:rFonts w:ascii="Geneva" w:hAnsi="Geneva"/>
                <w:b/>
                <w:sz w:val="22"/>
                <w:lang w:bidi="x-none"/>
              </w:rPr>
            </w:pPr>
            <w:r w:rsidRPr="00FB00CA">
              <w:rPr>
                <w:rFonts w:ascii="Arial" w:hAnsi="Arial"/>
                <w:b/>
                <w:sz w:val="22"/>
                <w:lang w:bidi="x-none"/>
              </w:rPr>
              <w:t>Headquarters Pool</w:t>
            </w:r>
          </w:p>
        </w:tc>
        <w:tc>
          <w:tcPr>
            <w:tcW w:w="3622" w:type="dxa"/>
            <w:gridSpan w:val="3"/>
            <w:tcBorders>
              <w:top w:val="single" w:sz="6" w:space="0" w:color="auto"/>
              <w:left w:val="nil"/>
              <w:bottom w:val="nil"/>
              <w:right w:val="nil"/>
            </w:tcBorders>
            <w:shd w:val="clear" w:color="auto" w:fill="auto"/>
            <w:noWrap/>
            <w:vAlign w:val="bottom"/>
          </w:tcPr>
          <w:p w14:paraId="74C3AB48" w14:textId="77777777" w:rsidR="00485F92" w:rsidRPr="00FB00CA" w:rsidRDefault="00485F92" w:rsidP="00485F92">
            <w:pPr>
              <w:spacing w:before="60"/>
              <w:jc w:val="center"/>
              <w:rPr>
                <w:rFonts w:ascii="Geneva" w:hAnsi="Geneva"/>
                <w:b/>
                <w:sz w:val="22"/>
                <w:lang w:bidi="x-none"/>
              </w:rPr>
            </w:pPr>
            <w:r w:rsidRPr="00FB00CA">
              <w:rPr>
                <w:rFonts w:ascii="Arial" w:hAnsi="Arial"/>
                <w:b/>
                <w:sz w:val="22"/>
                <w:lang w:bidi="x-none"/>
              </w:rPr>
              <w:t>Agassiz Pool</w:t>
            </w:r>
          </w:p>
        </w:tc>
      </w:tr>
      <w:tr w:rsidR="00485F92" w:rsidRPr="00FB00CA" w14:paraId="74EA60E7" w14:textId="77777777">
        <w:trPr>
          <w:trHeight w:val="260"/>
        </w:trPr>
        <w:tc>
          <w:tcPr>
            <w:tcW w:w="2180" w:type="dxa"/>
            <w:tcBorders>
              <w:top w:val="nil"/>
              <w:left w:val="nil"/>
              <w:bottom w:val="nil"/>
              <w:right w:val="nil"/>
            </w:tcBorders>
            <w:shd w:val="clear" w:color="auto" w:fill="auto"/>
            <w:noWrap/>
            <w:vAlign w:val="bottom"/>
          </w:tcPr>
          <w:p w14:paraId="32BADED2" w14:textId="77777777" w:rsidR="00485F92" w:rsidRPr="00FB00CA" w:rsidRDefault="00485F92" w:rsidP="00485F92">
            <w:pPr>
              <w:rPr>
                <w:rFonts w:ascii="Geneva" w:hAnsi="Geneva"/>
                <w:sz w:val="22"/>
                <w:lang w:bidi="x-none"/>
              </w:rPr>
            </w:pPr>
            <w:r w:rsidRPr="00FB00CA">
              <w:rPr>
                <w:rFonts w:ascii="Arial" w:hAnsi="Arial"/>
                <w:sz w:val="22"/>
                <w:lang w:bidi="x-none"/>
              </w:rPr>
              <w:t>Hg</w:t>
            </w:r>
            <w:r w:rsidRPr="00D37ECE">
              <w:rPr>
                <w:rFonts w:ascii="Arial" w:hAnsi="Arial"/>
                <w:sz w:val="22"/>
                <w:vertAlign w:val="subscript"/>
                <w:lang w:bidi="x-none"/>
              </w:rPr>
              <w:t>T</w:t>
            </w:r>
            <w:r w:rsidRPr="00FB00CA">
              <w:rPr>
                <w:rFonts w:ascii="Arial" w:hAnsi="Arial"/>
                <w:sz w:val="22"/>
                <w:lang w:bidi="x-none"/>
              </w:rPr>
              <w:t xml:space="preserve"> (ng/g DM)</w:t>
            </w:r>
          </w:p>
        </w:tc>
        <w:tc>
          <w:tcPr>
            <w:tcW w:w="1487" w:type="dxa"/>
            <w:tcBorders>
              <w:top w:val="nil"/>
              <w:left w:val="nil"/>
              <w:bottom w:val="nil"/>
              <w:right w:val="nil"/>
            </w:tcBorders>
            <w:shd w:val="clear" w:color="auto" w:fill="auto"/>
            <w:noWrap/>
            <w:vAlign w:val="bottom"/>
          </w:tcPr>
          <w:p w14:paraId="4602FEA6" w14:textId="77777777" w:rsidR="00485F92" w:rsidRPr="00FB00CA" w:rsidRDefault="00485F92" w:rsidP="00485F92">
            <w:pPr>
              <w:jc w:val="center"/>
              <w:rPr>
                <w:rFonts w:ascii="Geneva" w:hAnsi="Geneva"/>
                <w:sz w:val="22"/>
                <w:lang w:bidi="x-none"/>
              </w:rPr>
            </w:pPr>
            <w:r w:rsidRPr="00FB00CA">
              <w:rPr>
                <w:rFonts w:ascii="Arial" w:hAnsi="Arial"/>
                <w:sz w:val="22"/>
                <w:lang w:bidi="x-none"/>
              </w:rPr>
              <w:t>mean</w:t>
            </w:r>
          </w:p>
        </w:tc>
        <w:tc>
          <w:tcPr>
            <w:tcW w:w="645" w:type="dxa"/>
            <w:tcBorders>
              <w:top w:val="nil"/>
              <w:left w:val="nil"/>
              <w:bottom w:val="nil"/>
              <w:right w:val="nil"/>
            </w:tcBorders>
            <w:shd w:val="clear" w:color="auto" w:fill="auto"/>
            <w:noWrap/>
            <w:vAlign w:val="bottom"/>
          </w:tcPr>
          <w:p w14:paraId="7BEFF068" w14:textId="77777777" w:rsidR="00485F92" w:rsidRPr="00FB00CA" w:rsidRDefault="00485F92" w:rsidP="00485F92">
            <w:pPr>
              <w:jc w:val="center"/>
              <w:rPr>
                <w:rFonts w:ascii="Geneva" w:hAnsi="Geneva"/>
                <w:sz w:val="22"/>
                <w:lang w:bidi="x-none"/>
              </w:rPr>
            </w:pPr>
            <w:proofErr w:type="spellStart"/>
            <w:r w:rsidRPr="00FB00CA">
              <w:rPr>
                <w:rFonts w:ascii="Arial" w:hAnsi="Arial"/>
                <w:sz w:val="22"/>
                <w:lang w:bidi="x-none"/>
              </w:rPr>
              <w:t>s.d.</w:t>
            </w:r>
            <w:proofErr w:type="spellEnd"/>
          </w:p>
        </w:tc>
        <w:tc>
          <w:tcPr>
            <w:tcW w:w="1490" w:type="dxa"/>
            <w:tcBorders>
              <w:top w:val="nil"/>
              <w:left w:val="nil"/>
              <w:bottom w:val="nil"/>
              <w:right w:val="nil"/>
            </w:tcBorders>
            <w:shd w:val="clear" w:color="auto" w:fill="auto"/>
            <w:noWrap/>
            <w:vAlign w:val="bottom"/>
          </w:tcPr>
          <w:p w14:paraId="3EE6B846" w14:textId="77777777" w:rsidR="00485F92" w:rsidRPr="00FB00CA" w:rsidRDefault="00485F92" w:rsidP="00485F92">
            <w:pPr>
              <w:jc w:val="center"/>
              <w:rPr>
                <w:rFonts w:ascii="Geneva" w:hAnsi="Geneva"/>
                <w:sz w:val="22"/>
                <w:lang w:bidi="x-none"/>
              </w:rPr>
            </w:pPr>
            <w:r w:rsidRPr="00FB00CA">
              <w:rPr>
                <w:rFonts w:ascii="Arial" w:hAnsi="Arial"/>
                <w:sz w:val="22"/>
                <w:lang w:bidi="x-none"/>
              </w:rPr>
              <w:t>median</w:t>
            </w:r>
          </w:p>
        </w:tc>
        <w:tc>
          <w:tcPr>
            <w:tcW w:w="1487" w:type="dxa"/>
            <w:tcBorders>
              <w:top w:val="nil"/>
              <w:left w:val="nil"/>
              <w:bottom w:val="nil"/>
              <w:right w:val="nil"/>
            </w:tcBorders>
            <w:shd w:val="clear" w:color="auto" w:fill="auto"/>
            <w:noWrap/>
            <w:vAlign w:val="bottom"/>
          </w:tcPr>
          <w:p w14:paraId="34381DE3" w14:textId="77777777" w:rsidR="00485F92" w:rsidRPr="00FB00CA" w:rsidRDefault="00485F92" w:rsidP="00485F92">
            <w:pPr>
              <w:jc w:val="center"/>
              <w:rPr>
                <w:rFonts w:ascii="Geneva" w:hAnsi="Geneva"/>
                <w:sz w:val="22"/>
                <w:lang w:bidi="x-none"/>
              </w:rPr>
            </w:pPr>
            <w:r w:rsidRPr="00FB00CA">
              <w:rPr>
                <w:rFonts w:ascii="Arial" w:hAnsi="Arial"/>
                <w:sz w:val="22"/>
                <w:lang w:bidi="x-none"/>
              </w:rPr>
              <w:t>mean</w:t>
            </w:r>
          </w:p>
        </w:tc>
        <w:tc>
          <w:tcPr>
            <w:tcW w:w="645" w:type="dxa"/>
            <w:tcBorders>
              <w:top w:val="nil"/>
              <w:left w:val="nil"/>
              <w:bottom w:val="nil"/>
              <w:right w:val="nil"/>
            </w:tcBorders>
            <w:shd w:val="clear" w:color="auto" w:fill="auto"/>
            <w:noWrap/>
            <w:vAlign w:val="bottom"/>
          </w:tcPr>
          <w:p w14:paraId="67DF59BD" w14:textId="77777777" w:rsidR="00485F92" w:rsidRPr="00FB00CA" w:rsidRDefault="00485F92" w:rsidP="00485F92">
            <w:pPr>
              <w:jc w:val="center"/>
              <w:rPr>
                <w:rFonts w:ascii="Geneva" w:hAnsi="Geneva"/>
                <w:sz w:val="22"/>
                <w:lang w:bidi="x-none"/>
              </w:rPr>
            </w:pPr>
            <w:proofErr w:type="spellStart"/>
            <w:r w:rsidRPr="00FB00CA">
              <w:rPr>
                <w:rFonts w:ascii="Arial" w:hAnsi="Arial"/>
                <w:sz w:val="22"/>
                <w:lang w:bidi="x-none"/>
              </w:rPr>
              <w:t>s.d.</w:t>
            </w:r>
            <w:proofErr w:type="spellEnd"/>
          </w:p>
        </w:tc>
        <w:tc>
          <w:tcPr>
            <w:tcW w:w="1490" w:type="dxa"/>
            <w:tcBorders>
              <w:top w:val="nil"/>
              <w:left w:val="nil"/>
              <w:bottom w:val="nil"/>
              <w:right w:val="nil"/>
            </w:tcBorders>
            <w:shd w:val="clear" w:color="auto" w:fill="auto"/>
            <w:noWrap/>
            <w:vAlign w:val="bottom"/>
          </w:tcPr>
          <w:p w14:paraId="7E82A46A" w14:textId="77777777" w:rsidR="00485F92" w:rsidRPr="00FB00CA" w:rsidRDefault="00485F92" w:rsidP="00485F92">
            <w:pPr>
              <w:jc w:val="center"/>
              <w:rPr>
                <w:rFonts w:ascii="Geneva" w:hAnsi="Geneva"/>
                <w:sz w:val="22"/>
                <w:lang w:bidi="x-none"/>
              </w:rPr>
            </w:pPr>
            <w:r w:rsidRPr="00FB00CA">
              <w:rPr>
                <w:rFonts w:ascii="Arial" w:hAnsi="Arial"/>
                <w:sz w:val="22"/>
                <w:lang w:bidi="x-none"/>
              </w:rPr>
              <w:t>median</w:t>
            </w:r>
          </w:p>
        </w:tc>
      </w:tr>
      <w:tr w:rsidR="00485F92" w:rsidRPr="00FB00CA" w14:paraId="619F1560" w14:textId="77777777">
        <w:trPr>
          <w:trHeight w:val="260"/>
        </w:trPr>
        <w:tc>
          <w:tcPr>
            <w:tcW w:w="2180" w:type="dxa"/>
            <w:tcBorders>
              <w:top w:val="nil"/>
              <w:left w:val="nil"/>
              <w:bottom w:val="nil"/>
              <w:right w:val="nil"/>
            </w:tcBorders>
            <w:shd w:val="clear" w:color="auto" w:fill="auto"/>
            <w:noWrap/>
            <w:vAlign w:val="bottom"/>
          </w:tcPr>
          <w:p w14:paraId="5E947B6C" w14:textId="77777777" w:rsidR="00485F92" w:rsidRPr="00FB00CA" w:rsidRDefault="00485F92" w:rsidP="00485F92">
            <w:pPr>
              <w:jc w:val="right"/>
              <w:rPr>
                <w:rFonts w:ascii="Geneva" w:hAnsi="Geneva"/>
                <w:sz w:val="22"/>
                <w:lang w:bidi="x-none"/>
              </w:rPr>
            </w:pPr>
            <w:r w:rsidRPr="00FB00CA">
              <w:rPr>
                <w:rFonts w:ascii="Arial" w:hAnsi="Arial"/>
                <w:sz w:val="22"/>
                <w:lang w:bidi="x-none"/>
              </w:rPr>
              <w:t>2009</w:t>
            </w:r>
          </w:p>
        </w:tc>
        <w:tc>
          <w:tcPr>
            <w:tcW w:w="1487" w:type="dxa"/>
            <w:tcBorders>
              <w:top w:val="nil"/>
              <w:left w:val="nil"/>
              <w:bottom w:val="nil"/>
              <w:right w:val="nil"/>
            </w:tcBorders>
            <w:shd w:val="clear" w:color="auto" w:fill="auto"/>
            <w:noWrap/>
            <w:vAlign w:val="bottom"/>
          </w:tcPr>
          <w:p w14:paraId="014FC1AB" w14:textId="77777777" w:rsidR="00485F92" w:rsidRPr="00FB00CA" w:rsidRDefault="00485F92" w:rsidP="00485F92">
            <w:pPr>
              <w:jc w:val="center"/>
              <w:rPr>
                <w:rFonts w:ascii="Geneva" w:hAnsi="Geneva"/>
                <w:sz w:val="22"/>
                <w:lang w:bidi="x-none"/>
              </w:rPr>
            </w:pPr>
            <w:r w:rsidRPr="00FB00CA">
              <w:rPr>
                <w:rFonts w:ascii="Arial" w:hAnsi="Arial"/>
                <w:sz w:val="22"/>
                <w:lang w:bidi="x-none"/>
              </w:rPr>
              <w:t>28.0</w:t>
            </w:r>
          </w:p>
        </w:tc>
        <w:tc>
          <w:tcPr>
            <w:tcW w:w="645" w:type="dxa"/>
            <w:tcBorders>
              <w:top w:val="nil"/>
              <w:left w:val="nil"/>
              <w:bottom w:val="nil"/>
              <w:right w:val="nil"/>
            </w:tcBorders>
            <w:shd w:val="clear" w:color="auto" w:fill="auto"/>
            <w:noWrap/>
            <w:vAlign w:val="bottom"/>
          </w:tcPr>
          <w:p w14:paraId="6BC57205" w14:textId="77777777" w:rsidR="00485F92" w:rsidRPr="00FB00CA" w:rsidRDefault="00485F92" w:rsidP="00485F92">
            <w:pPr>
              <w:jc w:val="center"/>
              <w:rPr>
                <w:rFonts w:ascii="Geneva" w:hAnsi="Geneva"/>
                <w:sz w:val="22"/>
                <w:lang w:bidi="x-none"/>
              </w:rPr>
            </w:pPr>
            <w:r w:rsidRPr="00FB00CA">
              <w:rPr>
                <w:rFonts w:ascii="Arial" w:hAnsi="Arial"/>
                <w:sz w:val="22"/>
                <w:lang w:bidi="x-none"/>
              </w:rPr>
              <w:t>18.4</w:t>
            </w:r>
          </w:p>
        </w:tc>
        <w:tc>
          <w:tcPr>
            <w:tcW w:w="1490" w:type="dxa"/>
            <w:tcBorders>
              <w:top w:val="nil"/>
              <w:left w:val="nil"/>
              <w:bottom w:val="nil"/>
              <w:right w:val="nil"/>
            </w:tcBorders>
            <w:shd w:val="clear" w:color="auto" w:fill="auto"/>
            <w:noWrap/>
            <w:vAlign w:val="bottom"/>
          </w:tcPr>
          <w:p w14:paraId="10B40CCD" w14:textId="77777777" w:rsidR="00485F92" w:rsidRPr="00FB00CA" w:rsidRDefault="00485F92" w:rsidP="00485F92">
            <w:pPr>
              <w:jc w:val="center"/>
              <w:rPr>
                <w:rFonts w:ascii="Geneva" w:hAnsi="Geneva"/>
                <w:sz w:val="22"/>
                <w:lang w:bidi="x-none"/>
              </w:rPr>
            </w:pPr>
            <w:r w:rsidRPr="00FB00CA">
              <w:rPr>
                <w:rFonts w:ascii="Arial" w:hAnsi="Arial"/>
                <w:sz w:val="22"/>
                <w:lang w:bidi="x-none"/>
              </w:rPr>
              <w:t>24.0</w:t>
            </w:r>
          </w:p>
        </w:tc>
        <w:tc>
          <w:tcPr>
            <w:tcW w:w="1487" w:type="dxa"/>
            <w:tcBorders>
              <w:top w:val="nil"/>
              <w:left w:val="nil"/>
              <w:bottom w:val="nil"/>
              <w:right w:val="nil"/>
            </w:tcBorders>
            <w:shd w:val="clear" w:color="auto" w:fill="auto"/>
            <w:noWrap/>
            <w:vAlign w:val="bottom"/>
          </w:tcPr>
          <w:p w14:paraId="665BD18A" w14:textId="77777777" w:rsidR="00485F92" w:rsidRPr="00FB00CA" w:rsidRDefault="00485F92" w:rsidP="00485F92">
            <w:pPr>
              <w:jc w:val="center"/>
              <w:rPr>
                <w:rFonts w:ascii="Geneva" w:hAnsi="Geneva"/>
                <w:sz w:val="22"/>
                <w:lang w:bidi="x-none"/>
              </w:rPr>
            </w:pPr>
            <w:r w:rsidRPr="00FB00CA">
              <w:rPr>
                <w:rFonts w:ascii="Arial" w:hAnsi="Arial"/>
                <w:sz w:val="22"/>
                <w:lang w:bidi="x-none"/>
              </w:rPr>
              <w:t>34.6</w:t>
            </w:r>
          </w:p>
        </w:tc>
        <w:tc>
          <w:tcPr>
            <w:tcW w:w="645" w:type="dxa"/>
            <w:tcBorders>
              <w:top w:val="nil"/>
              <w:left w:val="nil"/>
              <w:bottom w:val="nil"/>
              <w:right w:val="nil"/>
            </w:tcBorders>
            <w:shd w:val="clear" w:color="auto" w:fill="auto"/>
            <w:noWrap/>
            <w:vAlign w:val="bottom"/>
          </w:tcPr>
          <w:p w14:paraId="6B827665" w14:textId="77777777" w:rsidR="00485F92" w:rsidRPr="00FB00CA" w:rsidRDefault="00485F92" w:rsidP="00485F92">
            <w:pPr>
              <w:jc w:val="center"/>
              <w:rPr>
                <w:rFonts w:ascii="Geneva" w:hAnsi="Geneva"/>
                <w:sz w:val="22"/>
                <w:lang w:bidi="x-none"/>
              </w:rPr>
            </w:pPr>
            <w:r w:rsidRPr="00FB00CA">
              <w:rPr>
                <w:rFonts w:ascii="Arial" w:hAnsi="Arial"/>
                <w:sz w:val="22"/>
                <w:lang w:bidi="x-none"/>
              </w:rPr>
              <w:t>11.3</w:t>
            </w:r>
          </w:p>
        </w:tc>
        <w:tc>
          <w:tcPr>
            <w:tcW w:w="1490" w:type="dxa"/>
            <w:tcBorders>
              <w:top w:val="nil"/>
              <w:left w:val="nil"/>
              <w:bottom w:val="nil"/>
              <w:right w:val="nil"/>
            </w:tcBorders>
            <w:shd w:val="clear" w:color="auto" w:fill="auto"/>
            <w:noWrap/>
            <w:vAlign w:val="bottom"/>
          </w:tcPr>
          <w:p w14:paraId="0704E3AD" w14:textId="77777777" w:rsidR="00485F92" w:rsidRPr="00FB00CA" w:rsidRDefault="00485F92" w:rsidP="00485F92">
            <w:pPr>
              <w:jc w:val="center"/>
              <w:rPr>
                <w:rFonts w:ascii="Geneva" w:hAnsi="Geneva"/>
                <w:sz w:val="22"/>
                <w:lang w:bidi="x-none"/>
              </w:rPr>
            </w:pPr>
            <w:r w:rsidRPr="00FB00CA">
              <w:rPr>
                <w:rFonts w:ascii="Arial" w:hAnsi="Arial"/>
                <w:sz w:val="22"/>
                <w:lang w:bidi="x-none"/>
              </w:rPr>
              <w:t>33.7</w:t>
            </w:r>
          </w:p>
        </w:tc>
      </w:tr>
      <w:tr w:rsidR="00485F92" w:rsidRPr="00FB00CA" w14:paraId="3E3220E1" w14:textId="77777777">
        <w:trPr>
          <w:trHeight w:val="260"/>
        </w:trPr>
        <w:tc>
          <w:tcPr>
            <w:tcW w:w="2180" w:type="dxa"/>
            <w:tcBorders>
              <w:top w:val="nil"/>
              <w:left w:val="nil"/>
              <w:bottom w:val="nil"/>
              <w:right w:val="nil"/>
            </w:tcBorders>
            <w:shd w:val="clear" w:color="auto" w:fill="auto"/>
            <w:noWrap/>
            <w:vAlign w:val="bottom"/>
          </w:tcPr>
          <w:p w14:paraId="2F03E030" w14:textId="77777777" w:rsidR="00485F92" w:rsidRPr="00FB00CA" w:rsidRDefault="00485F92" w:rsidP="00485F92">
            <w:pPr>
              <w:jc w:val="right"/>
              <w:rPr>
                <w:rFonts w:ascii="Geneva" w:hAnsi="Geneva"/>
                <w:sz w:val="22"/>
                <w:lang w:bidi="x-none"/>
              </w:rPr>
            </w:pPr>
            <w:r w:rsidRPr="00FB00CA">
              <w:rPr>
                <w:rFonts w:ascii="Arial" w:hAnsi="Arial"/>
                <w:sz w:val="22"/>
                <w:lang w:bidi="x-none"/>
              </w:rPr>
              <w:t>2010</w:t>
            </w:r>
          </w:p>
        </w:tc>
        <w:tc>
          <w:tcPr>
            <w:tcW w:w="1487" w:type="dxa"/>
            <w:tcBorders>
              <w:top w:val="nil"/>
              <w:left w:val="nil"/>
              <w:bottom w:val="nil"/>
              <w:right w:val="nil"/>
            </w:tcBorders>
            <w:shd w:val="clear" w:color="auto" w:fill="auto"/>
            <w:noWrap/>
            <w:vAlign w:val="bottom"/>
          </w:tcPr>
          <w:p w14:paraId="42BC62E2" w14:textId="77777777" w:rsidR="00485F92" w:rsidRPr="00FB00CA" w:rsidRDefault="00485F92" w:rsidP="00485F92">
            <w:pPr>
              <w:jc w:val="center"/>
              <w:rPr>
                <w:rFonts w:ascii="Geneva" w:hAnsi="Geneva"/>
                <w:sz w:val="22"/>
                <w:lang w:bidi="x-none"/>
              </w:rPr>
            </w:pPr>
            <w:r w:rsidRPr="00FB00CA">
              <w:rPr>
                <w:rFonts w:ascii="Arial" w:hAnsi="Arial"/>
                <w:sz w:val="22"/>
                <w:lang w:bidi="x-none"/>
              </w:rPr>
              <w:t>35.3</w:t>
            </w:r>
          </w:p>
        </w:tc>
        <w:tc>
          <w:tcPr>
            <w:tcW w:w="645" w:type="dxa"/>
            <w:tcBorders>
              <w:top w:val="nil"/>
              <w:left w:val="nil"/>
              <w:bottom w:val="nil"/>
              <w:right w:val="nil"/>
            </w:tcBorders>
            <w:shd w:val="clear" w:color="auto" w:fill="auto"/>
            <w:noWrap/>
            <w:vAlign w:val="bottom"/>
          </w:tcPr>
          <w:p w14:paraId="502A62F3" w14:textId="77777777" w:rsidR="00485F92" w:rsidRPr="00FB00CA" w:rsidRDefault="00485F92" w:rsidP="00485F92">
            <w:pPr>
              <w:jc w:val="center"/>
              <w:rPr>
                <w:rFonts w:ascii="Geneva" w:hAnsi="Geneva"/>
                <w:sz w:val="22"/>
                <w:lang w:bidi="x-none"/>
              </w:rPr>
            </w:pPr>
            <w:r w:rsidRPr="00FB00CA">
              <w:rPr>
                <w:rFonts w:ascii="Arial" w:hAnsi="Arial"/>
                <w:sz w:val="22"/>
                <w:lang w:bidi="x-none"/>
              </w:rPr>
              <w:t>28.6</w:t>
            </w:r>
          </w:p>
        </w:tc>
        <w:tc>
          <w:tcPr>
            <w:tcW w:w="1490" w:type="dxa"/>
            <w:tcBorders>
              <w:top w:val="nil"/>
              <w:left w:val="nil"/>
              <w:bottom w:val="nil"/>
              <w:right w:val="nil"/>
            </w:tcBorders>
            <w:shd w:val="clear" w:color="auto" w:fill="auto"/>
            <w:noWrap/>
            <w:vAlign w:val="bottom"/>
          </w:tcPr>
          <w:p w14:paraId="0522DEDF" w14:textId="77777777" w:rsidR="00485F92" w:rsidRPr="00FB00CA" w:rsidRDefault="00485F92" w:rsidP="00485F92">
            <w:pPr>
              <w:jc w:val="center"/>
              <w:rPr>
                <w:rFonts w:ascii="Geneva" w:hAnsi="Geneva"/>
                <w:sz w:val="22"/>
                <w:lang w:bidi="x-none"/>
              </w:rPr>
            </w:pPr>
            <w:r w:rsidRPr="00FB00CA">
              <w:rPr>
                <w:rFonts w:ascii="Arial" w:hAnsi="Arial"/>
                <w:sz w:val="22"/>
                <w:lang w:bidi="x-none"/>
              </w:rPr>
              <w:t>21.8</w:t>
            </w:r>
          </w:p>
        </w:tc>
        <w:tc>
          <w:tcPr>
            <w:tcW w:w="1487" w:type="dxa"/>
            <w:tcBorders>
              <w:top w:val="nil"/>
              <w:left w:val="nil"/>
              <w:bottom w:val="nil"/>
              <w:right w:val="nil"/>
            </w:tcBorders>
            <w:shd w:val="clear" w:color="auto" w:fill="auto"/>
            <w:noWrap/>
            <w:vAlign w:val="bottom"/>
          </w:tcPr>
          <w:p w14:paraId="25CCB547" w14:textId="77777777" w:rsidR="00485F92" w:rsidRPr="00FB00CA" w:rsidRDefault="00485F92" w:rsidP="00485F92">
            <w:pPr>
              <w:jc w:val="center"/>
              <w:rPr>
                <w:rFonts w:ascii="Geneva" w:hAnsi="Geneva"/>
                <w:sz w:val="22"/>
                <w:lang w:bidi="x-none"/>
              </w:rPr>
            </w:pPr>
            <w:r w:rsidRPr="00FB00CA">
              <w:rPr>
                <w:rFonts w:ascii="Arial" w:hAnsi="Arial"/>
                <w:sz w:val="22"/>
                <w:lang w:bidi="x-none"/>
              </w:rPr>
              <w:t>34.9</w:t>
            </w:r>
          </w:p>
        </w:tc>
        <w:tc>
          <w:tcPr>
            <w:tcW w:w="645" w:type="dxa"/>
            <w:tcBorders>
              <w:top w:val="nil"/>
              <w:left w:val="nil"/>
              <w:bottom w:val="nil"/>
              <w:right w:val="nil"/>
            </w:tcBorders>
            <w:shd w:val="clear" w:color="auto" w:fill="auto"/>
            <w:noWrap/>
            <w:vAlign w:val="bottom"/>
          </w:tcPr>
          <w:p w14:paraId="39533B56" w14:textId="77777777" w:rsidR="00485F92" w:rsidRPr="00FB00CA" w:rsidRDefault="00485F92" w:rsidP="00485F92">
            <w:pPr>
              <w:jc w:val="center"/>
              <w:rPr>
                <w:rFonts w:ascii="Geneva" w:hAnsi="Geneva"/>
                <w:sz w:val="22"/>
                <w:lang w:bidi="x-none"/>
              </w:rPr>
            </w:pPr>
            <w:r w:rsidRPr="00FB00CA">
              <w:rPr>
                <w:rFonts w:ascii="Arial" w:hAnsi="Arial"/>
                <w:sz w:val="22"/>
                <w:lang w:bidi="x-none"/>
              </w:rPr>
              <w:t>15.1</w:t>
            </w:r>
          </w:p>
        </w:tc>
        <w:tc>
          <w:tcPr>
            <w:tcW w:w="1490" w:type="dxa"/>
            <w:tcBorders>
              <w:top w:val="nil"/>
              <w:left w:val="nil"/>
              <w:bottom w:val="nil"/>
              <w:right w:val="nil"/>
            </w:tcBorders>
            <w:shd w:val="clear" w:color="auto" w:fill="auto"/>
            <w:noWrap/>
            <w:vAlign w:val="bottom"/>
          </w:tcPr>
          <w:p w14:paraId="49182437" w14:textId="77777777" w:rsidR="00485F92" w:rsidRPr="00FB00CA" w:rsidRDefault="00485F92" w:rsidP="00485F92">
            <w:pPr>
              <w:jc w:val="center"/>
              <w:rPr>
                <w:rFonts w:ascii="Geneva" w:hAnsi="Geneva"/>
                <w:sz w:val="22"/>
                <w:lang w:bidi="x-none"/>
              </w:rPr>
            </w:pPr>
            <w:r w:rsidRPr="00FB00CA">
              <w:rPr>
                <w:rFonts w:ascii="Arial" w:hAnsi="Arial"/>
                <w:sz w:val="22"/>
                <w:lang w:bidi="x-none"/>
              </w:rPr>
              <w:t>38.1</w:t>
            </w:r>
          </w:p>
        </w:tc>
      </w:tr>
      <w:tr w:rsidR="00485F92" w:rsidRPr="00FB00CA" w14:paraId="2598752A" w14:textId="77777777">
        <w:trPr>
          <w:trHeight w:val="260"/>
        </w:trPr>
        <w:tc>
          <w:tcPr>
            <w:tcW w:w="2180" w:type="dxa"/>
            <w:tcBorders>
              <w:top w:val="nil"/>
              <w:left w:val="nil"/>
              <w:bottom w:val="nil"/>
              <w:right w:val="nil"/>
            </w:tcBorders>
            <w:shd w:val="clear" w:color="auto" w:fill="auto"/>
            <w:noWrap/>
            <w:vAlign w:val="bottom"/>
          </w:tcPr>
          <w:p w14:paraId="24243BD8" w14:textId="77777777" w:rsidR="00485F92" w:rsidRPr="00FB00CA" w:rsidRDefault="00485F92" w:rsidP="00485F92">
            <w:pPr>
              <w:jc w:val="right"/>
              <w:rPr>
                <w:rFonts w:ascii="Geneva" w:hAnsi="Geneva"/>
                <w:sz w:val="22"/>
                <w:lang w:bidi="x-none"/>
              </w:rPr>
            </w:pPr>
            <w:r w:rsidRPr="00FB00CA">
              <w:rPr>
                <w:rFonts w:ascii="Arial" w:hAnsi="Arial"/>
                <w:sz w:val="22"/>
                <w:lang w:bidi="x-none"/>
              </w:rPr>
              <w:t>2011</w:t>
            </w:r>
          </w:p>
        </w:tc>
        <w:tc>
          <w:tcPr>
            <w:tcW w:w="1487" w:type="dxa"/>
            <w:tcBorders>
              <w:top w:val="nil"/>
              <w:left w:val="nil"/>
              <w:bottom w:val="nil"/>
              <w:right w:val="nil"/>
            </w:tcBorders>
            <w:shd w:val="clear" w:color="auto" w:fill="auto"/>
            <w:noWrap/>
            <w:vAlign w:val="bottom"/>
          </w:tcPr>
          <w:p w14:paraId="1D189AB9" w14:textId="77777777" w:rsidR="00485F92" w:rsidRPr="00FB00CA" w:rsidRDefault="00485F92" w:rsidP="00485F92">
            <w:pPr>
              <w:jc w:val="center"/>
              <w:rPr>
                <w:rFonts w:ascii="Geneva" w:hAnsi="Geneva"/>
                <w:sz w:val="22"/>
                <w:lang w:bidi="x-none"/>
              </w:rPr>
            </w:pPr>
            <w:r w:rsidRPr="00FB00CA">
              <w:rPr>
                <w:rFonts w:ascii="Arial" w:hAnsi="Arial"/>
                <w:sz w:val="22"/>
                <w:lang w:bidi="x-none"/>
              </w:rPr>
              <w:t>36.1</w:t>
            </w:r>
          </w:p>
        </w:tc>
        <w:tc>
          <w:tcPr>
            <w:tcW w:w="645" w:type="dxa"/>
            <w:tcBorders>
              <w:top w:val="nil"/>
              <w:left w:val="nil"/>
              <w:bottom w:val="nil"/>
              <w:right w:val="nil"/>
            </w:tcBorders>
            <w:shd w:val="clear" w:color="auto" w:fill="auto"/>
            <w:noWrap/>
            <w:vAlign w:val="bottom"/>
          </w:tcPr>
          <w:p w14:paraId="53F46919" w14:textId="77777777" w:rsidR="00485F92" w:rsidRPr="00FB00CA" w:rsidRDefault="00485F92" w:rsidP="00485F92">
            <w:pPr>
              <w:jc w:val="center"/>
              <w:rPr>
                <w:rFonts w:ascii="Geneva" w:hAnsi="Geneva"/>
                <w:sz w:val="22"/>
                <w:lang w:bidi="x-none"/>
              </w:rPr>
            </w:pPr>
            <w:r w:rsidRPr="00FB00CA">
              <w:rPr>
                <w:rFonts w:ascii="Arial" w:hAnsi="Arial"/>
                <w:sz w:val="22"/>
                <w:lang w:bidi="x-none"/>
              </w:rPr>
              <w:t>21.2</w:t>
            </w:r>
          </w:p>
        </w:tc>
        <w:tc>
          <w:tcPr>
            <w:tcW w:w="1490" w:type="dxa"/>
            <w:tcBorders>
              <w:top w:val="nil"/>
              <w:left w:val="nil"/>
              <w:bottom w:val="nil"/>
              <w:right w:val="nil"/>
            </w:tcBorders>
            <w:shd w:val="clear" w:color="auto" w:fill="auto"/>
            <w:noWrap/>
            <w:vAlign w:val="bottom"/>
          </w:tcPr>
          <w:p w14:paraId="6270BF45" w14:textId="77777777" w:rsidR="00485F92" w:rsidRPr="00FB00CA" w:rsidRDefault="00485F92" w:rsidP="00485F92">
            <w:pPr>
              <w:jc w:val="center"/>
              <w:rPr>
                <w:rFonts w:ascii="Geneva" w:hAnsi="Geneva"/>
                <w:sz w:val="22"/>
                <w:lang w:bidi="x-none"/>
              </w:rPr>
            </w:pPr>
            <w:r w:rsidRPr="00FB00CA">
              <w:rPr>
                <w:rFonts w:ascii="Arial" w:hAnsi="Arial"/>
                <w:sz w:val="22"/>
                <w:lang w:bidi="x-none"/>
              </w:rPr>
              <w:t>28.1</w:t>
            </w:r>
          </w:p>
        </w:tc>
        <w:tc>
          <w:tcPr>
            <w:tcW w:w="1487" w:type="dxa"/>
            <w:tcBorders>
              <w:top w:val="nil"/>
              <w:left w:val="nil"/>
              <w:bottom w:val="nil"/>
              <w:right w:val="nil"/>
            </w:tcBorders>
            <w:shd w:val="clear" w:color="auto" w:fill="auto"/>
            <w:noWrap/>
            <w:vAlign w:val="bottom"/>
          </w:tcPr>
          <w:p w14:paraId="1A669615" w14:textId="77777777" w:rsidR="00485F92" w:rsidRPr="00FB00CA" w:rsidRDefault="00485F92" w:rsidP="00485F92">
            <w:pPr>
              <w:jc w:val="center"/>
              <w:rPr>
                <w:rFonts w:ascii="Geneva" w:hAnsi="Geneva"/>
                <w:sz w:val="22"/>
                <w:lang w:bidi="x-none"/>
              </w:rPr>
            </w:pPr>
            <w:r w:rsidRPr="00FB00CA">
              <w:rPr>
                <w:rFonts w:ascii="Arial" w:hAnsi="Arial"/>
                <w:sz w:val="22"/>
                <w:lang w:bidi="x-none"/>
              </w:rPr>
              <w:t>31.4</w:t>
            </w:r>
          </w:p>
        </w:tc>
        <w:tc>
          <w:tcPr>
            <w:tcW w:w="645" w:type="dxa"/>
            <w:tcBorders>
              <w:top w:val="nil"/>
              <w:left w:val="nil"/>
              <w:bottom w:val="nil"/>
              <w:right w:val="nil"/>
            </w:tcBorders>
            <w:shd w:val="clear" w:color="auto" w:fill="auto"/>
            <w:noWrap/>
            <w:vAlign w:val="bottom"/>
          </w:tcPr>
          <w:p w14:paraId="6C985933" w14:textId="77777777" w:rsidR="00485F92" w:rsidRPr="00FB00CA" w:rsidRDefault="00485F92" w:rsidP="00485F92">
            <w:pPr>
              <w:jc w:val="center"/>
              <w:rPr>
                <w:rFonts w:ascii="Geneva" w:hAnsi="Geneva"/>
                <w:sz w:val="22"/>
                <w:lang w:bidi="x-none"/>
              </w:rPr>
            </w:pPr>
            <w:r w:rsidRPr="00FB00CA">
              <w:rPr>
                <w:rFonts w:ascii="Arial" w:hAnsi="Arial"/>
                <w:sz w:val="22"/>
                <w:lang w:bidi="x-none"/>
              </w:rPr>
              <w:t>10.4</w:t>
            </w:r>
          </w:p>
        </w:tc>
        <w:tc>
          <w:tcPr>
            <w:tcW w:w="1490" w:type="dxa"/>
            <w:tcBorders>
              <w:top w:val="nil"/>
              <w:left w:val="nil"/>
              <w:bottom w:val="nil"/>
              <w:right w:val="nil"/>
            </w:tcBorders>
            <w:shd w:val="clear" w:color="auto" w:fill="auto"/>
            <w:noWrap/>
            <w:vAlign w:val="bottom"/>
          </w:tcPr>
          <w:p w14:paraId="2BA2F4DC" w14:textId="77777777" w:rsidR="00485F92" w:rsidRPr="00FB00CA" w:rsidRDefault="00485F92" w:rsidP="00485F92">
            <w:pPr>
              <w:jc w:val="center"/>
              <w:rPr>
                <w:rFonts w:ascii="Geneva" w:hAnsi="Geneva"/>
                <w:sz w:val="22"/>
                <w:lang w:bidi="x-none"/>
              </w:rPr>
            </w:pPr>
            <w:r w:rsidRPr="00FB00CA">
              <w:rPr>
                <w:rFonts w:ascii="Arial" w:hAnsi="Arial"/>
                <w:sz w:val="22"/>
                <w:lang w:bidi="x-none"/>
              </w:rPr>
              <w:t>33.3</w:t>
            </w:r>
          </w:p>
        </w:tc>
      </w:tr>
      <w:tr w:rsidR="00485F92" w:rsidRPr="00FB00CA" w14:paraId="01300DA1" w14:textId="77777777">
        <w:trPr>
          <w:trHeight w:val="260"/>
        </w:trPr>
        <w:tc>
          <w:tcPr>
            <w:tcW w:w="2180" w:type="dxa"/>
            <w:tcBorders>
              <w:top w:val="nil"/>
              <w:left w:val="nil"/>
              <w:bottom w:val="nil"/>
              <w:right w:val="nil"/>
            </w:tcBorders>
            <w:shd w:val="clear" w:color="auto" w:fill="auto"/>
            <w:noWrap/>
            <w:vAlign w:val="bottom"/>
          </w:tcPr>
          <w:p w14:paraId="64D38C8B" w14:textId="77777777" w:rsidR="00485F92" w:rsidRPr="00FB00CA" w:rsidRDefault="00485F92" w:rsidP="00485F92">
            <w:pPr>
              <w:rPr>
                <w:rFonts w:ascii="Geneva" w:hAnsi="Geneva"/>
                <w:sz w:val="22"/>
                <w:lang w:bidi="x-none"/>
              </w:rPr>
            </w:pPr>
            <w:r w:rsidRPr="00FB00CA">
              <w:rPr>
                <w:rFonts w:ascii="Arial" w:hAnsi="Arial"/>
                <w:sz w:val="22"/>
                <w:lang w:bidi="x-none"/>
              </w:rPr>
              <w:t>Hg</w:t>
            </w:r>
            <w:r w:rsidRPr="00D37ECE">
              <w:rPr>
                <w:rFonts w:ascii="Arial" w:hAnsi="Arial"/>
                <w:sz w:val="22"/>
                <w:vertAlign w:val="subscript"/>
                <w:lang w:bidi="x-none"/>
              </w:rPr>
              <w:t>T</w:t>
            </w:r>
            <w:r w:rsidRPr="00FB00CA">
              <w:rPr>
                <w:rFonts w:ascii="Arial" w:hAnsi="Arial"/>
                <w:sz w:val="22"/>
                <w:lang w:bidi="x-none"/>
              </w:rPr>
              <w:t xml:space="preserve"> (ng/g OM)</w:t>
            </w:r>
          </w:p>
        </w:tc>
        <w:tc>
          <w:tcPr>
            <w:tcW w:w="1487" w:type="dxa"/>
            <w:tcBorders>
              <w:top w:val="nil"/>
              <w:left w:val="nil"/>
              <w:bottom w:val="nil"/>
              <w:right w:val="nil"/>
            </w:tcBorders>
            <w:shd w:val="clear" w:color="auto" w:fill="auto"/>
            <w:noWrap/>
            <w:vAlign w:val="bottom"/>
          </w:tcPr>
          <w:p w14:paraId="22C3AADB" w14:textId="77777777" w:rsidR="00485F92" w:rsidRPr="00FB00CA" w:rsidRDefault="00485F92" w:rsidP="00485F92">
            <w:pPr>
              <w:jc w:val="center"/>
              <w:rPr>
                <w:rFonts w:ascii="Geneva" w:hAnsi="Geneva"/>
                <w:sz w:val="22"/>
                <w:lang w:bidi="x-none"/>
              </w:rPr>
            </w:pPr>
          </w:p>
        </w:tc>
        <w:tc>
          <w:tcPr>
            <w:tcW w:w="645" w:type="dxa"/>
            <w:tcBorders>
              <w:top w:val="nil"/>
              <w:left w:val="nil"/>
              <w:bottom w:val="nil"/>
              <w:right w:val="nil"/>
            </w:tcBorders>
            <w:shd w:val="clear" w:color="auto" w:fill="auto"/>
            <w:noWrap/>
            <w:vAlign w:val="bottom"/>
          </w:tcPr>
          <w:p w14:paraId="477E5EC9" w14:textId="77777777" w:rsidR="00485F92" w:rsidRPr="00FB00CA" w:rsidRDefault="00485F92" w:rsidP="00485F92">
            <w:pPr>
              <w:jc w:val="center"/>
              <w:rPr>
                <w:rFonts w:ascii="Geneva" w:hAnsi="Geneva"/>
                <w:sz w:val="22"/>
                <w:lang w:bidi="x-none"/>
              </w:rPr>
            </w:pPr>
          </w:p>
        </w:tc>
        <w:tc>
          <w:tcPr>
            <w:tcW w:w="1490" w:type="dxa"/>
            <w:tcBorders>
              <w:top w:val="nil"/>
              <w:left w:val="nil"/>
              <w:bottom w:val="nil"/>
              <w:right w:val="nil"/>
            </w:tcBorders>
            <w:shd w:val="clear" w:color="auto" w:fill="auto"/>
            <w:noWrap/>
            <w:vAlign w:val="bottom"/>
          </w:tcPr>
          <w:p w14:paraId="56072CF2" w14:textId="77777777" w:rsidR="00485F92" w:rsidRPr="00FB00CA" w:rsidRDefault="00485F92" w:rsidP="00485F92">
            <w:pPr>
              <w:jc w:val="center"/>
              <w:rPr>
                <w:rFonts w:ascii="Geneva" w:hAnsi="Geneva"/>
                <w:sz w:val="22"/>
                <w:lang w:bidi="x-none"/>
              </w:rPr>
            </w:pPr>
          </w:p>
        </w:tc>
        <w:tc>
          <w:tcPr>
            <w:tcW w:w="1487" w:type="dxa"/>
            <w:tcBorders>
              <w:top w:val="nil"/>
              <w:left w:val="nil"/>
              <w:bottom w:val="nil"/>
              <w:right w:val="nil"/>
            </w:tcBorders>
            <w:shd w:val="clear" w:color="auto" w:fill="auto"/>
            <w:noWrap/>
            <w:vAlign w:val="bottom"/>
          </w:tcPr>
          <w:p w14:paraId="6C541747" w14:textId="77777777" w:rsidR="00485F92" w:rsidRPr="00FB00CA" w:rsidRDefault="00485F92" w:rsidP="00485F92">
            <w:pPr>
              <w:jc w:val="center"/>
              <w:rPr>
                <w:rFonts w:ascii="Geneva" w:hAnsi="Geneva"/>
                <w:sz w:val="22"/>
                <w:lang w:bidi="x-none"/>
              </w:rPr>
            </w:pPr>
          </w:p>
        </w:tc>
        <w:tc>
          <w:tcPr>
            <w:tcW w:w="645" w:type="dxa"/>
            <w:tcBorders>
              <w:top w:val="nil"/>
              <w:left w:val="nil"/>
              <w:bottom w:val="nil"/>
              <w:right w:val="nil"/>
            </w:tcBorders>
            <w:shd w:val="clear" w:color="auto" w:fill="auto"/>
            <w:noWrap/>
            <w:vAlign w:val="bottom"/>
          </w:tcPr>
          <w:p w14:paraId="710DF70D" w14:textId="77777777" w:rsidR="00485F92" w:rsidRPr="00FB00CA" w:rsidRDefault="00485F92" w:rsidP="00485F92">
            <w:pPr>
              <w:jc w:val="center"/>
              <w:rPr>
                <w:rFonts w:ascii="Geneva" w:hAnsi="Geneva"/>
                <w:sz w:val="22"/>
                <w:lang w:bidi="x-none"/>
              </w:rPr>
            </w:pPr>
          </w:p>
        </w:tc>
        <w:tc>
          <w:tcPr>
            <w:tcW w:w="1490" w:type="dxa"/>
            <w:tcBorders>
              <w:top w:val="nil"/>
              <w:left w:val="nil"/>
              <w:bottom w:val="nil"/>
              <w:right w:val="nil"/>
            </w:tcBorders>
            <w:shd w:val="clear" w:color="auto" w:fill="auto"/>
            <w:noWrap/>
            <w:vAlign w:val="bottom"/>
          </w:tcPr>
          <w:p w14:paraId="3FCB9C18" w14:textId="77777777" w:rsidR="00485F92" w:rsidRPr="00FB00CA" w:rsidRDefault="00485F92" w:rsidP="00485F92">
            <w:pPr>
              <w:jc w:val="center"/>
              <w:rPr>
                <w:rFonts w:ascii="Geneva" w:hAnsi="Geneva"/>
                <w:sz w:val="22"/>
                <w:lang w:bidi="x-none"/>
              </w:rPr>
            </w:pPr>
          </w:p>
        </w:tc>
      </w:tr>
      <w:tr w:rsidR="00485F92" w:rsidRPr="00FB00CA" w14:paraId="640E5C7D" w14:textId="77777777">
        <w:trPr>
          <w:trHeight w:val="260"/>
        </w:trPr>
        <w:tc>
          <w:tcPr>
            <w:tcW w:w="2180" w:type="dxa"/>
            <w:tcBorders>
              <w:top w:val="nil"/>
              <w:left w:val="nil"/>
              <w:bottom w:val="nil"/>
              <w:right w:val="nil"/>
            </w:tcBorders>
            <w:shd w:val="clear" w:color="auto" w:fill="auto"/>
            <w:noWrap/>
            <w:vAlign w:val="bottom"/>
          </w:tcPr>
          <w:p w14:paraId="2B8782DA" w14:textId="77777777" w:rsidR="00485F92" w:rsidRPr="00FB00CA" w:rsidRDefault="00485F92" w:rsidP="00485F92">
            <w:pPr>
              <w:jc w:val="right"/>
              <w:rPr>
                <w:rFonts w:ascii="Geneva" w:hAnsi="Geneva"/>
                <w:sz w:val="22"/>
                <w:lang w:bidi="x-none"/>
              </w:rPr>
            </w:pPr>
            <w:r w:rsidRPr="00FB00CA">
              <w:rPr>
                <w:rFonts w:ascii="Arial" w:hAnsi="Arial"/>
                <w:sz w:val="22"/>
                <w:lang w:bidi="x-none"/>
              </w:rPr>
              <w:t>2009</w:t>
            </w:r>
          </w:p>
        </w:tc>
        <w:tc>
          <w:tcPr>
            <w:tcW w:w="1487" w:type="dxa"/>
            <w:tcBorders>
              <w:top w:val="nil"/>
              <w:left w:val="nil"/>
              <w:bottom w:val="nil"/>
              <w:right w:val="nil"/>
            </w:tcBorders>
            <w:shd w:val="clear" w:color="auto" w:fill="auto"/>
            <w:noWrap/>
            <w:vAlign w:val="bottom"/>
          </w:tcPr>
          <w:p w14:paraId="08B3A2DE" w14:textId="77777777" w:rsidR="00485F92" w:rsidRPr="00FB00CA" w:rsidRDefault="00485F92" w:rsidP="00485F92">
            <w:pPr>
              <w:jc w:val="center"/>
              <w:rPr>
                <w:rFonts w:ascii="Geneva" w:hAnsi="Geneva"/>
                <w:sz w:val="22"/>
                <w:lang w:bidi="x-none"/>
              </w:rPr>
            </w:pPr>
            <w:r w:rsidRPr="00FB00CA">
              <w:rPr>
                <w:rFonts w:ascii="Arial" w:hAnsi="Arial"/>
                <w:sz w:val="22"/>
                <w:lang w:bidi="x-none"/>
              </w:rPr>
              <w:t>213</w:t>
            </w:r>
          </w:p>
        </w:tc>
        <w:tc>
          <w:tcPr>
            <w:tcW w:w="645" w:type="dxa"/>
            <w:tcBorders>
              <w:top w:val="nil"/>
              <w:left w:val="nil"/>
              <w:bottom w:val="nil"/>
              <w:right w:val="nil"/>
            </w:tcBorders>
            <w:shd w:val="clear" w:color="auto" w:fill="auto"/>
            <w:noWrap/>
            <w:vAlign w:val="bottom"/>
          </w:tcPr>
          <w:p w14:paraId="6E7BCA11" w14:textId="77777777" w:rsidR="00485F92" w:rsidRPr="00FB00CA" w:rsidRDefault="00485F92" w:rsidP="00485F92">
            <w:pPr>
              <w:jc w:val="center"/>
              <w:rPr>
                <w:rFonts w:ascii="Geneva" w:hAnsi="Geneva"/>
                <w:sz w:val="22"/>
                <w:lang w:bidi="x-none"/>
              </w:rPr>
            </w:pPr>
            <w:r w:rsidRPr="00FB00CA">
              <w:rPr>
                <w:rFonts w:ascii="Arial" w:hAnsi="Arial"/>
                <w:sz w:val="22"/>
                <w:lang w:bidi="x-none"/>
              </w:rPr>
              <w:t>88</w:t>
            </w:r>
          </w:p>
        </w:tc>
        <w:tc>
          <w:tcPr>
            <w:tcW w:w="1490" w:type="dxa"/>
            <w:tcBorders>
              <w:top w:val="nil"/>
              <w:left w:val="nil"/>
              <w:bottom w:val="nil"/>
              <w:right w:val="nil"/>
            </w:tcBorders>
            <w:shd w:val="clear" w:color="auto" w:fill="auto"/>
            <w:noWrap/>
            <w:vAlign w:val="bottom"/>
          </w:tcPr>
          <w:p w14:paraId="1E03E534" w14:textId="77777777" w:rsidR="00485F92" w:rsidRPr="00FB00CA" w:rsidRDefault="00485F92" w:rsidP="00485F92">
            <w:pPr>
              <w:jc w:val="center"/>
              <w:rPr>
                <w:rFonts w:ascii="Geneva" w:hAnsi="Geneva"/>
                <w:sz w:val="22"/>
                <w:lang w:bidi="x-none"/>
              </w:rPr>
            </w:pPr>
            <w:r w:rsidRPr="00FB00CA">
              <w:rPr>
                <w:rFonts w:ascii="Arial" w:hAnsi="Arial"/>
                <w:sz w:val="22"/>
                <w:lang w:bidi="x-none"/>
              </w:rPr>
              <w:t>235</w:t>
            </w:r>
          </w:p>
        </w:tc>
        <w:tc>
          <w:tcPr>
            <w:tcW w:w="1487" w:type="dxa"/>
            <w:tcBorders>
              <w:top w:val="nil"/>
              <w:left w:val="nil"/>
              <w:bottom w:val="nil"/>
              <w:right w:val="nil"/>
            </w:tcBorders>
            <w:shd w:val="clear" w:color="auto" w:fill="auto"/>
            <w:noWrap/>
            <w:vAlign w:val="bottom"/>
          </w:tcPr>
          <w:p w14:paraId="167CB0DE" w14:textId="77777777" w:rsidR="00485F92" w:rsidRPr="00FB00CA" w:rsidRDefault="00485F92" w:rsidP="00485F92">
            <w:pPr>
              <w:jc w:val="center"/>
              <w:rPr>
                <w:rFonts w:ascii="Geneva" w:hAnsi="Geneva"/>
                <w:sz w:val="22"/>
                <w:lang w:bidi="x-none"/>
              </w:rPr>
            </w:pPr>
            <w:r w:rsidRPr="00FB00CA">
              <w:rPr>
                <w:rFonts w:ascii="Arial" w:hAnsi="Arial"/>
                <w:sz w:val="22"/>
                <w:lang w:bidi="x-none"/>
              </w:rPr>
              <w:t>218</w:t>
            </w:r>
          </w:p>
        </w:tc>
        <w:tc>
          <w:tcPr>
            <w:tcW w:w="645" w:type="dxa"/>
            <w:tcBorders>
              <w:top w:val="nil"/>
              <w:left w:val="nil"/>
              <w:bottom w:val="nil"/>
              <w:right w:val="nil"/>
            </w:tcBorders>
            <w:shd w:val="clear" w:color="auto" w:fill="auto"/>
            <w:noWrap/>
            <w:vAlign w:val="bottom"/>
          </w:tcPr>
          <w:p w14:paraId="4899F83C" w14:textId="77777777" w:rsidR="00485F92" w:rsidRPr="00FB00CA" w:rsidRDefault="00485F92" w:rsidP="00485F92">
            <w:pPr>
              <w:jc w:val="center"/>
              <w:rPr>
                <w:rFonts w:ascii="Geneva" w:hAnsi="Geneva"/>
                <w:sz w:val="22"/>
                <w:lang w:bidi="x-none"/>
              </w:rPr>
            </w:pPr>
            <w:r w:rsidRPr="00FB00CA">
              <w:rPr>
                <w:rFonts w:ascii="Arial" w:hAnsi="Arial"/>
                <w:sz w:val="22"/>
                <w:lang w:bidi="x-none"/>
              </w:rPr>
              <w:t>39</w:t>
            </w:r>
          </w:p>
        </w:tc>
        <w:tc>
          <w:tcPr>
            <w:tcW w:w="1490" w:type="dxa"/>
            <w:tcBorders>
              <w:top w:val="nil"/>
              <w:left w:val="nil"/>
              <w:bottom w:val="nil"/>
              <w:right w:val="nil"/>
            </w:tcBorders>
            <w:shd w:val="clear" w:color="auto" w:fill="auto"/>
            <w:noWrap/>
            <w:vAlign w:val="bottom"/>
          </w:tcPr>
          <w:p w14:paraId="55D4E97E" w14:textId="77777777" w:rsidR="00485F92" w:rsidRPr="00FB00CA" w:rsidRDefault="00485F92" w:rsidP="00485F92">
            <w:pPr>
              <w:jc w:val="center"/>
              <w:rPr>
                <w:rFonts w:ascii="Geneva" w:hAnsi="Geneva"/>
                <w:sz w:val="22"/>
                <w:lang w:bidi="x-none"/>
              </w:rPr>
            </w:pPr>
            <w:r w:rsidRPr="00FB00CA">
              <w:rPr>
                <w:rFonts w:ascii="Arial" w:hAnsi="Arial"/>
                <w:sz w:val="22"/>
                <w:lang w:bidi="x-none"/>
              </w:rPr>
              <w:t>208</w:t>
            </w:r>
          </w:p>
        </w:tc>
      </w:tr>
      <w:tr w:rsidR="00485F92" w:rsidRPr="00FB00CA" w14:paraId="60DA77A6" w14:textId="77777777">
        <w:trPr>
          <w:trHeight w:val="260"/>
        </w:trPr>
        <w:tc>
          <w:tcPr>
            <w:tcW w:w="2180" w:type="dxa"/>
            <w:tcBorders>
              <w:top w:val="nil"/>
              <w:left w:val="nil"/>
              <w:bottom w:val="nil"/>
              <w:right w:val="nil"/>
            </w:tcBorders>
            <w:shd w:val="clear" w:color="auto" w:fill="auto"/>
            <w:noWrap/>
            <w:vAlign w:val="bottom"/>
          </w:tcPr>
          <w:p w14:paraId="15FF1FD3" w14:textId="77777777" w:rsidR="00485F92" w:rsidRPr="00FB00CA" w:rsidRDefault="00485F92" w:rsidP="00485F92">
            <w:pPr>
              <w:jc w:val="right"/>
              <w:rPr>
                <w:rFonts w:ascii="Geneva" w:hAnsi="Geneva"/>
                <w:sz w:val="22"/>
                <w:lang w:bidi="x-none"/>
              </w:rPr>
            </w:pPr>
            <w:r w:rsidRPr="00FB00CA">
              <w:rPr>
                <w:rFonts w:ascii="Arial" w:hAnsi="Arial"/>
                <w:sz w:val="22"/>
                <w:lang w:bidi="x-none"/>
              </w:rPr>
              <w:t>2010</w:t>
            </w:r>
          </w:p>
        </w:tc>
        <w:tc>
          <w:tcPr>
            <w:tcW w:w="1487" w:type="dxa"/>
            <w:tcBorders>
              <w:top w:val="nil"/>
              <w:left w:val="nil"/>
              <w:bottom w:val="nil"/>
              <w:right w:val="nil"/>
            </w:tcBorders>
            <w:shd w:val="clear" w:color="auto" w:fill="auto"/>
            <w:noWrap/>
            <w:vAlign w:val="bottom"/>
          </w:tcPr>
          <w:p w14:paraId="77749127" w14:textId="77777777" w:rsidR="00485F92" w:rsidRPr="00FB00CA" w:rsidRDefault="00485F92" w:rsidP="00485F92">
            <w:pPr>
              <w:jc w:val="center"/>
              <w:rPr>
                <w:rFonts w:ascii="Geneva" w:hAnsi="Geneva"/>
                <w:sz w:val="22"/>
                <w:lang w:bidi="x-none"/>
              </w:rPr>
            </w:pPr>
            <w:r w:rsidRPr="00FB00CA">
              <w:rPr>
                <w:rFonts w:ascii="Arial" w:hAnsi="Arial"/>
                <w:sz w:val="22"/>
                <w:lang w:bidi="x-none"/>
              </w:rPr>
              <w:t>218</w:t>
            </w:r>
          </w:p>
        </w:tc>
        <w:tc>
          <w:tcPr>
            <w:tcW w:w="645" w:type="dxa"/>
            <w:tcBorders>
              <w:top w:val="nil"/>
              <w:left w:val="nil"/>
              <w:bottom w:val="nil"/>
              <w:right w:val="nil"/>
            </w:tcBorders>
            <w:shd w:val="clear" w:color="auto" w:fill="auto"/>
            <w:noWrap/>
            <w:vAlign w:val="bottom"/>
          </w:tcPr>
          <w:p w14:paraId="4DF18B84" w14:textId="77777777" w:rsidR="00485F92" w:rsidRPr="00FB00CA" w:rsidRDefault="00485F92" w:rsidP="00485F92">
            <w:pPr>
              <w:jc w:val="center"/>
              <w:rPr>
                <w:rFonts w:ascii="Geneva" w:hAnsi="Geneva"/>
                <w:sz w:val="22"/>
                <w:lang w:bidi="x-none"/>
              </w:rPr>
            </w:pPr>
            <w:r w:rsidRPr="00FB00CA">
              <w:rPr>
                <w:rFonts w:ascii="Arial" w:hAnsi="Arial"/>
                <w:sz w:val="22"/>
                <w:lang w:bidi="x-none"/>
              </w:rPr>
              <w:t>47</w:t>
            </w:r>
          </w:p>
        </w:tc>
        <w:tc>
          <w:tcPr>
            <w:tcW w:w="1490" w:type="dxa"/>
            <w:tcBorders>
              <w:top w:val="nil"/>
              <w:left w:val="nil"/>
              <w:bottom w:val="nil"/>
              <w:right w:val="nil"/>
            </w:tcBorders>
            <w:shd w:val="clear" w:color="auto" w:fill="auto"/>
            <w:noWrap/>
            <w:vAlign w:val="bottom"/>
          </w:tcPr>
          <w:p w14:paraId="468214A7" w14:textId="77777777" w:rsidR="00485F92" w:rsidRPr="00FB00CA" w:rsidRDefault="00485F92" w:rsidP="00485F92">
            <w:pPr>
              <w:jc w:val="center"/>
              <w:rPr>
                <w:rFonts w:ascii="Geneva" w:hAnsi="Geneva"/>
                <w:sz w:val="22"/>
                <w:lang w:bidi="x-none"/>
              </w:rPr>
            </w:pPr>
            <w:r w:rsidRPr="00FB00CA">
              <w:rPr>
                <w:rFonts w:ascii="Arial" w:hAnsi="Arial"/>
                <w:sz w:val="22"/>
                <w:lang w:bidi="x-none"/>
              </w:rPr>
              <w:t>213</w:t>
            </w:r>
          </w:p>
        </w:tc>
        <w:tc>
          <w:tcPr>
            <w:tcW w:w="1487" w:type="dxa"/>
            <w:tcBorders>
              <w:top w:val="nil"/>
              <w:left w:val="nil"/>
              <w:bottom w:val="nil"/>
              <w:right w:val="nil"/>
            </w:tcBorders>
            <w:shd w:val="clear" w:color="auto" w:fill="auto"/>
            <w:noWrap/>
            <w:vAlign w:val="bottom"/>
          </w:tcPr>
          <w:p w14:paraId="075F325F" w14:textId="77777777" w:rsidR="00485F92" w:rsidRPr="00FB00CA" w:rsidRDefault="00485F92" w:rsidP="00485F92">
            <w:pPr>
              <w:jc w:val="center"/>
              <w:rPr>
                <w:rFonts w:ascii="Geneva" w:hAnsi="Geneva"/>
                <w:sz w:val="22"/>
                <w:lang w:bidi="x-none"/>
              </w:rPr>
            </w:pPr>
            <w:r w:rsidRPr="00FB00CA">
              <w:rPr>
                <w:rFonts w:ascii="Arial" w:hAnsi="Arial"/>
                <w:sz w:val="22"/>
                <w:lang w:bidi="x-none"/>
              </w:rPr>
              <w:t>243</w:t>
            </w:r>
          </w:p>
        </w:tc>
        <w:tc>
          <w:tcPr>
            <w:tcW w:w="645" w:type="dxa"/>
            <w:tcBorders>
              <w:top w:val="nil"/>
              <w:left w:val="nil"/>
              <w:bottom w:val="nil"/>
              <w:right w:val="nil"/>
            </w:tcBorders>
            <w:shd w:val="clear" w:color="auto" w:fill="auto"/>
            <w:noWrap/>
            <w:vAlign w:val="bottom"/>
          </w:tcPr>
          <w:p w14:paraId="6A1C28F9" w14:textId="77777777" w:rsidR="00485F92" w:rsidRPr="00FB00CA" w:rsidRDefault="00485F92" w:rsidP="00485F92">
            <w:pPr>
              <w:jc w:val="center"/>
              <w:rPr>
                <w:rFonts w:ascii="Geneva" w:hAnsi="Geneva"/>
                <w:sz w:val="22"/>
                <w:lang w:bidi="x-none"/>
              </w:rPr>
            </w:pPr>
            <w:r w:rsidRPr="00FB00CA">
              <w:rPr>
                <w:rFonts w:ascii="Arial" w:hAnsi="Arial"/>
                <w:sz w:val="22"/>
                <w:lang w:bidi="x-none"/>
              </w:rPr>
              <w:t>103</w:t>
            </w:r>
          </w:p>
        </w:tc>
        <w:tc>
          <w:tcPr>
            <w:tcW w:w="1490" w:type="dxa"/>
            <w:tcBorders>
              <w:top w:val="nil"/>
              <w:left w:val="nil"/>
              <w:bottom w:val="nil"/>
              <w:right w:val="nil"/>
            </w:tcBorders>
            <w:shd w:val="clear" w:color="auto" w:fill="auto"/>
            <w:noWrap/>
            <w:vAlign w:val="bottom"/>
          </w:tcPr>
          <w:p w14:paraId="555CB6B7" w14:textId="77777777" w:rsidR="00485F92" w:rsidRPr="00FB00CA" w:rsidRDefault="00485F92" w:rsidP="00485F92">
            <w:pPr>
              <w:jc w:val="center"/>
              <w:rPr>
                <w:rFonts w:ascii="Geneva" w:hAnsi="Geneva"/>
                <w:sz w:val="22"/>
                <w:lang w:bidi="x-none"/>
              </w:rPr>
            </w:pPr>
            <w:r w:rsidRPr="00FB00CA">
              <w:rPr>
                <w:rFonts w:ascii="Arial" w:hAnsi="Arial"/>
                <w:sz w:val="22"/>
                <w:lang w:bidi="x-none"/>
              </w:rPr>
              <w:t>211</w:t>
            </w:r>
          </w:p>
        </w:tc>
      </w:tr>
      <w:tr w:rsidR="00485F92" w:rsidRPr="00FB00CA" w14:paraId="782AA3D5" w14:textId="77777777">
        <w:trPr>
          <w:trHeight w:val="260"/>
        </w:trPr>
        <w:tc>
          <w:tcPr>
            <w:tcW w:w="2180" w:type="dxa"/>
            <w:tcBorders>
              <w:top w:val="nil"/>
              <w:left w:val="nil"/>
              <w:bottom w:val="nil"/>
              <w:right w:val="nil"/>
            </w:tcBorders>
            <w:shd w:val="clear" w:color="auto" w:fill="auto"/>
            <w:noWrap/>
            <w:vAlign w:val="bottom"/>
          </w:tcPr>
          <w:p w14:paraId="382D0E18" w14:textId="77777777" w:rsidR="00485F92" w:rsidRPr="00FB00CA" w:rsidRDefault="00485F92" w:rsidP="00485F92">
            <w:pPr>
              <w:jc w:val="right"/>
              <w:rPr>
                <w:rFonts w:ascii="Geneva" w:hAnsi="Geneva"/>
                <w:sz w:val="22"/>
                <w:lang w:bidi="x-none"/>
              </w:rPr>
            </w:pPr>
            <w:r w:rsidRPr="00FB00CA">
              <w:rPr>
                <w:rFonts w:ascii="Arial" w:hAnsi="Arial"/>
                <w:sz w:val="22"/>
                <w:lang w:bidi="x-none"/>
              </w:rPr>
              <w:t>2011</w:t>
            </w:r>
          </w:p>
        </w:tc>
        <w:tc>
          <w:tcPr>
            <w:tcW w:w="1487" w:type="dxa"/>
            <w:tcBorders>
              <w:top w:val="nil"/>
              <w:left w:val="nil"/>
              <w:bottom w:val="nil"/>
              <w:right w:val="nil"/>
            </w:tcBorders>
            <w:shd w:val="clear" w:color="auto" w:fill="auto"/>
            <w:noWrap/>
            <w:vAlign w:val="bottom"/>
          </w:tcPr>
          <w:p w14:paraId="3382930C" w14:textId="77777777" w:rsidR="00485F92" w:rsidRPr="00FB00CA" w:rsidRDefault="00485F92" w:rsidP="00485F92">
            <w:pPr>
              <w:jc w:val="center"/>
              <w:rPr>
                <w:rFonts w:ascii="Geneva" w:hAnsi="Geneva"/>
                <w:sz w:val="22"/>
                <w:lang w:bidi="x-none"/>
              </w:rPr>
            </w:pPr>
            <w:r w:rsidRPr="00FB00CA">
              <w:rPr>
                <w:rFonts w:ascii="Arial" w:hAnsi="Arial"/>
                <w:sz w:val="22"/>
                <w:lang w:bidi="x-none"/>
              </w:rPr>
              <w:t>268</w:t>
            </w:r>
          </w:p>
        </w:tc>
        <w:tc>
          <w:tcPr>
            <w:tcW w:w="645" w:type="dxa"/>
            <w:tcBorders>
              <w:top w:val="nil"/>
              <w:left w:val="nil"/>
              <w:bottom w:val="nil"/>
              <w:right w:val="nil"/>
            </w:tcBorders>
            <w:shd w:val="clear" w:color="auto" w:fill="auto"/>
            <w:noWrap/>
            <w:vAlign w:val="bottom"/>
          </w:tcPr>
          <w:p w14:paraId="33501584" w14:textId="77777777" w:rsidR="00485F92" w:rsidRPr="00FB00CA" w:rsidRDefault="00485F92" w:rsidP="00485F92">
            <w:pPr>
              <w:jc w:val="center"/>
              <w:rPr>
                <w:rFonts w:ascii="Geneva" w:hAnsi="Geneva"/>
                <w:sz w:val="22"/>
                <w:lang w:bidi="x-none"/>
              </w:rPr>
            </w:pPr>
            <w:r w:rsidRPr="00FB00CA">
              <w:rPr>
                <w:rFonts w:ascii="Arial" w:hAnsi="Arial"/>
                <w:sz w:val="22"/>
                <w:lang w:bidi="x-none"/>
              </w:rPr>
              <w:t>138</w:t>
            </w:r>
          </w:p>
        </w:tc>
        <w:tc>
          <w:tcPr>
            <w:tcW w:w="1490" w:type="dxa"/>
            <w:tcBorders>
              <w:top w:val="nil"/>
              <w:left w:val="nil"/>
              <w:bottom w:val="nil"/>
              <w:right w:val="nil"/>
            </w:tcBorders>
            <w:shd w:val="clear" w:color="auto" w:fill="auto"/>
            <w:noWrap/>
            <w:vAlign w:val="bottom"/>
          </w:tcPr>
          <w:p w14:paraId="225640D9" w14:textId="77777777" w:rsidR="00485F92" w:rsidRPr="00FB00CA" w:rsidRDefault="00485F92" w:rsidP="00485F92">
            <w:pPr>
              <w:jc w:val="center"/>
              <w:rPr>
                <w:rFonts w:ascii="Geneva" w:hAnsi="Geneva"/>
                <w:sz w:val="22"/>
                <w:lang w:bidi="x-none"/>
              </w:rPr>
            </w:pPr>
            <w:r w:rsidRPr="00FB00CA">
              <w:rPr>
                <w:rFonts w:ascii="Arial" w:hAnsi="Arial"/>
                <w:sz w:val="22"/>
                <w:lang w:bidi="x-none"/>
              </w:rPr>
              <w:t>230</w:t>
            </w:r>
          </w:p>
        </w:tc>
        <w:tc>
          <w:tcPr>
            <w:tcW w:w="1487" w:type="dxa"/>
            <w:tcBorders>
              <w:top w:val="nil"/>
              <w:left w:val="nil"/>
              <w:bottom w:val="nil"/>
              <w:right w:val="nil"/>
            </w:tcBorders>
            <w:shd w:val="clear" w:color="auto" w:fill="auto"/>
            <w:noWrap/>
            <w:vAlign w:val="bottom"/>
          </w:tcPr>
          <w:p w14:paraId="62027AC7" w14:textId="77777777" w:rsidR="00485F92" w:rsidRPr="00FB00CA" w:rsidRDefault="00485F92" w:rsidP="00485F92">
            <w:pPr>
              <w:jc w:val="center"/>
              <w:rPr>
                <w:rFonts w:ascii="Geneva" w:hAnsi="Geneva"/>
                <w:sz w:val="22"/>
                <w:lang w:bidi="x-none"/>
              </w:rPr>
            </w:pPr>
            <w:r w:rsidRPr="00FB00CA">
              <w:rPr>
                <w:rFonts w:ascii="Arial" w:hAnsi="Arial"/>
                <w:sz w:val="22"/>
                <w:lang w:bidi="x-none"/>
              </w:rPr>
              <w:t>254</w:t>
            </w:r>
          </w:p>
        </w:tc>
        <w:tc>
          <w:tcPr>
            <w:tcW w:w="645" w:type="dxa"/>
            <w:tcBorders>
              <w:top w:val="nil"/>
              <w:left w:val="nil"/>
              <w:bottom w:val="nil"/>
              <w:right w:val="nil"/>
            </w:tcBorders>
            <w:shd w:val="clear" w:color="auto" w:fill="auto"/>
            <w:noWrap/>
            <w:vAlign w:val="bottom"/>
          </w:tcPr>
          <w:p w14:paraId="142D1C1B" w14:textId="77777777" w:rsidR="00485F92" w:rsidRPr="00FB00CA" w:rsidRDefault="00485F92" w:rsidP="00485F92">
            <w:pPr>
              <w:jc w:val="center"/>
              <w:rPr>
                <w:rFonts w:ascii="Geneva" w:hAnsi="Geneva"/>
                <w:sz w:val="22"/>
                <w:lang w:bidi="x-none"/>
              </w:rPr>
            </w:pPr>
            <w:r w:rsidRPr="00FB00CA">
              <w:rPr>
                <w:rFonts w:ascii="Arial" w:hAnsi="Arial"/>
                <w:sz w:val="22"/>
                <w:lang w:bidi="x-none"/>
              </w:rPr>
              <w:t>101</w:t>
            </w:r>
          </w:p>
        </w:tc>
        <w:tc>
          <w:tcPr>
            <w:tcW w:w="1490" w:type="dxa"/>
            <w:tcBorders>
              <w:top w:val="nil"/>
              <w:left w:val="nil"/>
              <w:bottom w:val="nil"/>
              <w:right w:val="nil"/>
            </w:tcBorders>
            <w:shd w:val="clear" w:color="auto" w:fill="auto"/>
            <w:noWrap/>
            <w:vAlign w:val="bottom"/>
          </w:tcPr>
          <w:p w14:paraId="219BFC4C" w14:textId="77777777" w:rsidR="00485F92" w:rsidRPr="00FB00CA" w:rsidRDefault="00485F92" w:rsidP="00485F92">
            <w:pPr>
              <w:jc w:val="center"/>
              <w:rPr>
                <w:rFonts w:ascii="Geneva" w:hAnsi="Geneva"/>
                <w:sz w:val="22"/>
                <w:lang w:bidi="x-none"/>
              </w:rPr>
            </w:pPr>
            <w:r w:rsidRPr="00FB00CA">
              <w:rPr>
                <w:rFonts w:ascii="Arial" w:hAnsi="Arial"/>
                <w:sz w:val="22"/>
                <w:lang w:bidi="x-none"/>
              </w:rPr>
              <w:t>211</w:t>
            </w:r>
          </w:p>
        </w:tc>
      </w:tr>
      <w:tr w:rsidR="00485F92" w:rsidRPr="00FB00CA" w14:paraId="4ABCDF3D" w14:textId="77777777">
        <w:trPr>
          <w:trHeight w:val="260"/>
        </w:trPr>
        <w:tc>
          <w:tcPr>
            <w:tcW w:w="2180" w:type="dxa"/>
            <w:tcBorders>
              <w:top w:val="nil"/>
              <w:left w:val="nil"/>
              <w:bottom w:val="nil"/>
              <w:right w:val="nil"/>
            </w:tcBorders>
            <w:shd w:val="clear" w:color="auto" w:fill="auto"/>
            <w:noWrap/>
            <w:vAlign w:val="bottom"/>
          </w:tcPr>
          <w:p w14:paraId="16DC1360" w14:textId="77777777" w:rsidR="00485F92" w:rsidRPr="00FB00CA" w:rsidRDefault="00485F92" w:rsidP="00485F92">
            <w:pPr>
              <w:rPr>
                <w:rFonts w:ascii="Geneva" w:hAnsi="Geneva"/>
                <w:sz w:val="22"/>
                <w:lang w:bidi="x-none"/>
              </w:rPr>
            </w:pPr>
            <w:r w:rsidRPr="00FB00CA">
              <w:rPr>
                <w:rFonts w:ascii="Arial" w:hAnsi="Arial"/>
                <w:sz w:val="22"/>
                <w:lang w:bidi="x-none"/>
              </w:rPr>
              <w:t>MeHg (ng/g DM)</w:t>
            </w:r>
          </w:p>
        </w:tc>
        <w:tc>
          <w:tcPr>
            <w:tcW w:w="1487" w:type="dxa"/>
            <w:tcBorders>
              <w:top w:val="nil"/>
              <w:left w:val="nil"/>
              <w:bottom w:val="nil"/>
              <w:right w:val="nil"/>
            </w:tcBorders>
            <w:shd w:val="clear" w:color="auto" w:fill="auto"/>
            <w:noWrap/>
            <w:vAlign w:val="bottom"/>
          </w:tcPr>
          <w:p w14:paraId="13DFFA0F" w14:textId="77777777" w:rsidR="00485F92" w:rsidRPr="00FB00CA" w:rsidRDefault="00485F92" w:rsidP="00485F92">
            <w:pPr>
              <w:jc w:val="center"/>
              <w:rPr>
                <w:rFonts w:ascii="Geneva" w:hAnsi="Geneva"/>
                <w:sz w:val="22"/>
                <w:lang w:bidi="x-none"/>
              </w:rPr>
            </w:pPr>
          </w:p>
        </w:tc>
        <w:tc>
          <w:tcPr>
            <w:tcW w:w="645" w:type="dxa"/>
            <w:tcBorders>
              <w:top w:val="nil"/>
              <w:left w:val="nil"/>
              <w:bottom w:val="nil"/>
              <w:right w:val="nil"/>
            </w:tcBorders>
            <w:shd w:val="clear" w:color="auto" w:fill="auto"/>
            <w:noWrap/>
            <w:vAlign w:val="bottom"/>
          </w:tcPr>
          <w:p w14:paraId="1288BD10" w14:textId="77777777" w:rsidR="00485F92" w:rsidRPr="00FB00CA" w:rsidRDefault="00485F92" w:rsidP="00485F92">
            <w:pPr>
              <w:jc w:val="center"/>
              <w:rPr>
                <w:rFonts w:ascii="Geneva" w:hAnsi="Geneva"/>
                <w:sz w:val="22"/>
                <w:lang w:bidi="x-none"/>
              </w:rPr>
            </w:pPr>
          </w:p>
        </w:tc>
        <w:tc>
          <w:tcPr>
            <w:tcW w:w="1490" w:type="dxa"/>
            <w:tcBorders>
              <w:top w:val="nil"/>
              <w:left w:val="nil"/>
              <w:bottom w:val="nil"/>
              <w:right w:val="nil"/>
            </w:tcBorders>
            <w:shd w:val="clear" w:color="auto" w:fill="auto"/>
            <w:noWrap/>
            <w:vAlign w:val="bottom"/>
          </w:tcPr>
          <w:p w14:paraId="22C9B75A" w14:textId="77777777" w:rsidR="00485F92" w:rsidRPr="00FB00CA" w:rsidRDefault="00485F92" w:rsidP="00485F92">
            <w:pPr>
              <w:jc w:val="center"/>
              <w:rPr>
                <w:rFonts w:ascii="Geneva" w:hAnsi="Geneva"/>
                <w:sz w:val="22"/>
                <w:lang w:bidi="x-none"/>
              </w:rPr>
            </w:pPr>
          </w:p>
        </w:tc>
        <w:tc>
          <w:tcPr>
            <w:tcW w:w="1487" w:type="dxa"/>
            <w:tcBorders>
              <w:top w:val="nil"/>
              <w:left w:val="nil"/>
              <w:bottom w:val="nil"/>
              <w:right w:val="nil"/>
            </w:tcBorders>
            <w:shd w:val="clear" w:color="auto" w:fill="auto"/>
            <w:noWrap/>
            <w:vAlign w:val="bottom"/>
          </w:tcPr>
          <w:p w14:paraId="2F8BB570" w14:textId="77777777" w:rsidR="00485F92" w:rsidRPr="00FB00CA" w:rsidRDefault="00485F92" w:rsidP="00485F92">
            <w:pPr>
              <w:jc w:val="center"/>
              <w:rPr>
                <w:rFonts w:ascii="Geneva" w:hAnsi="Geneva"/>
                <w:sz w:val="22"/>
                <w:lang w:bidi="x-none"/>
              </w:rPr>
            </w:pPr>
          </w:p>
        </w:tc>
        <w:tc>
          <w:tcPr>
            <w:tcW w:w="645" w:type="dxa"/>
            <w:tcBorders>
              <w:top w:val="nil"/>
              <w:left w:val="nil"/>
              <w:bottom w:val="nil"/>
              <w:right w:val="nil"/>
            </w:tcBorders>
            <w:shd w:val="clear" w:color="auto" w:fill="auto"/>
            <w:noWrap/>
            <w:vAlign w:val="bottom"/>
          </w:tcPr>
          <w:p w14:paraId="1DBC56F1" w14:textId="77777777" w:rsidR="00485F92" w:rsidRPr="00FB00CA" w:rsidRDefault="00485F92" w:rsidP="00485F92">
            <w:pPr>
              <w:jc w:val="center"/>
              <w:rPr>
                <w:rFonts w:ascii="Geneva" w:hAnsi="Geneva"/>
                <w:sz w:val="22"/>
                <w:lang w:bidi="x-none"/>
              </w:rPr>
            </w:pPr>
          </w:p>
        </w:tc>
        <w:tc>
          <w:tcPr>
            <w:tcW w:w="1490" w:type="dxa"/>
            <w:tcBorders>
              <w:top w:val="nil"/>
              <w:left w:val="nil"/>
              <w:bottom w:val="nil"/>
              <w:right w:val="nil"/>
            </w:tcBorders>
            <w:shd w:val="clear" w:color="auto" w:fill="auto"/>
            <w:noWrap/>
            <w:vAlign w:val="bottom"/>
          </w:tcPr>
          <w:p w14:paraId="5D601971" w14:textId="77777777" w:rsidR="00485F92" w:rsidRPr="00FB00CA" w:rsidRDefault="00485F92" w:rsidP="00485F92">
            <w:pPr>
              <w:jc w:val="center"/>
              <w:rPr>
                <w:rFonts w:ascii="Geneva" w:hAnsi="Geneva"/>
                <w:sz w:val="22"/>
                <w:lang w:bidi="x-none"/>
              </w:rPr>
            </w:pPr>
          </w:p>
        </w:tc>
      </w:tr>
      <w:tr w:rsidR="00485F92" w:rsidRPr="00FB00CA" w14:paraId="40D6D92D" w14:textId="77777777">
        <w:trPr>
          <w:trHeight w:val="260"/>
        </w:trPr>
        <w:tc>
          <w:tcPr>
            <w:tcW w:w="2180" w:type="dxa"/>
            <w:tcBorders>
              <w:top w:val="nil"/>
              <w:left w:val="nil"/>
              <w:bottom w:val="nil"/>
              <w:right w:val="nil"/>
            </w:tcBorders>
            <w:shd w:val="clear" w:color="auto" w:fill="auto"/>
            <w:noWrap/>
            <w:vAlign w:val="bottom"/>
          </w:tcPr>
          <w:p w14:paraId="4ACD032C" w14:textId="77777777" w:rsidR="00485F92" w:rsidRPr="00FB00CA" w:rsidRDefault="00485F92" w:rsidP="00485F92">
            <w:pPr>
              <w:jc w:val="right"/>
              <w:rPr>
                <w:rFonts w:ascii="Geneva" w:hAnsi="Geneva"/>
                <w:sz w:val="22"/>
                <w:lang w:bidi="x-none"/>
              </w:rPr>
            </w:pPr>
            <w:r w:rsidRPr="00FB00CA">
              <w:rPr>
                <w:rFonts w:ascii="Arial" w:hAnsi="Arial"/>
                <w:sz w:val="22"/>
                <w:lang w:bidi="x-none"/>
              </w:rPr>
              <w:t>2009</w:t>
            </w:r>
          </w:p>
        </w:tc>
        <w:tc>
          <w:tcPr>
            <w:tcW w:w="1487" w:type="dxa"/>
            <w:tcBorders>
              <w:top w:val="nil"/>
              <w:left w:val="nil"/>
              <w:bottom w:val="nil"/>
              <w:right w:val="nil"/>
            </w:tcBorders>
            <w:shd w:val="clear" w:color="auto" w:fill="auto"/>
            <w:noWrap/>
            <w:vAlign w:val="bottom"/>
          </w:tcPr>
          <w:p w14:paraId="35FF8AEC" w14:textId="77777777" w:rsidR="00485F92" w:rsidRPr="00FB00CA" w:rsidRDefault="00485F92" w:rsidP="00485F92">
            <w:pPr>
              <w:jc w:val="center"/>
              <w:rPr>
                <w:rFonts w:ascii="Geneva" w:hAnsi="Geneva"/>
                <w:sz w:val="22"/>
                <w:lang w:bidi="x-none"/>
              </w:rPr>
            </w:pPr>
            <w:r w:rsidRPr="00FB00CA">
              <w:rPr>
                <w:rFonts w:ascii="Arial" w:hAnsi="Arial"/>
                <w:sz w:val="22"/>
                <w:lang w:bidi="x-none"/>
              </w:rPr>
              <w:t>0.46</w:t>
            </w:r>
          </w:p>
        </w:tc>
        <w:tc>
          <w:tcPr>
            <w:tcW w:w="645" w:type="dxa"/>
            <w:tcBorders>
              <w:top w:val="nil"/>
              <w:left w:val="nil"/>
              <w:bottom w:val="nil"/>
              <w:right w:val="nil"/>
            </w:tcBorders>
            <w:shd w:val="clear" w:color="auto" w:fill="auto"/>
            <w:noWrap/>
            <w:vAlign w:val="bottom"/>
          </w:tcPr>
          <w:p w14:paraId="278154B4" w14:textId="77777777" w:rsidR="00485F92" w:rsidRPr="00FB00CA" w:rsidRDefault="00485F92" w:rsidP="00485F92">
            <w:pPr>
              <w:jc w:val="center"/>
              <w:rPr>
                <w:rFonts w:ascii="Geneva" w:hAnsi="Geneva"/>
                <w:sz w:val="22"/>
                <w:lang w:bidi="x-none"/>
              </w:rPr>
            </w:pPr>
            <w:r w:rsidRPr="00FB00CA">
              <w:rPr>
                <w:rFonts w:ascii="Arial" w:hAnsi="Arial"/>
                <w:sz w:val="22"/>
                <w:lang w:bidi="x-none"/>
              </w:rPr>
              <w:t>0.44</w:t>
            </w:r>
          </w:p>
        </w:tc>
        <w:tc>
          <w:tcPr>
            <w:tcW w:w="1490" w:type="dxa"/>
            <w:tcBorders>
              <w:top w:val="nil"/>
              <w:left w:val="nil"/>
              <w:bottom w:val="nil"/>
              <w:right w:val="nil"/>
            </w:tcBorders>
            <w:shd w:val="clear" w:color="auto" w:fill="auto"/>
            <w:noWrap/>
            <w:vAlign w:val="bottom"/>
          </w:tcPr>
          <w:p w14:paraId="279B567B" w14:textId="77777777" w:rsidR="00485F92" w:rsidRPr="00FB00CA" w:rsidRDefault="00485F92" w:rsidP="00485F92">
            <w:pPr>
              <w:jc w:val="center"/>
              <w:rPr>
                <w:rFonts w:ascii="Geneva" w:hAnsi="Geneva"/>
                <w:sz w:val="22"/>
                <w:lang w:bidi="x-none"/>
              </w:rPr>
            </w:pPr>
            <w:r w:rsidRPr="00FB00CA">
              <w:rPr>
                <w:rFonts w:ascii="Arial" w:hAnsi="Arial"/>
                <w:sz w:val="22"/>
                <w:lang w:bidi="x-none"/>
              </w:rPr>
              <w:t>0.33</w:t>
            </w:r>
          </w:p>
        </w:tc>
        <w:tc>
          <w:tcPr>
            <w:tcW w:w="1487" w:type="dxa"/>
            <w:tcBorders>
              <w:top w:val="nil"/>
              <w:left w:val="nil"/>
              <w:bottom w:val="nil"/>
              <w:right w:val="nil"/>
            </w:tcBorders>
            <w:shd w:val="clear" w:color="auto" w:fill="auto"/>
            <w:noWrap/>
            <w:vAlign w:val="bottom"/>
          </w:tcPr>
          <w:p w14:paraId="0D518567" w14:textId="77777777" w:rsidR="00485F92" w:rsidRPr="00FB00CA" w:rsidRDefault="00485F92" w:rsidP="00485F92">
            <w:pPr>
              <w:jc w:val="center"/>
              <w:rPr>
                <w:rFonts w:ascii="Geneva" w:hAnsi="Geneva"/>
                <w:sz w:val="22"/>
                <w:lang w:bidi="x-none"/>
              </w:rPr>
            </w:pPr>
            <w:r w:rsidRPr="00FB00CA">
              <w:rPr>
                <w:rFonts w:ascii="Arial" w:hAnsi="Arial"/>
                <w:sz w:val="22"/>
                <w:lang w:bidi="x-none"/>
              </w:rPr>
              <w:t>0.14</w:t>
            </w:r>
          </w:p>
        </w:tc>
        <w:tc>
          <w:tcPr>
            <w:tcW w:w="645" w:type="dxa"/>
            <w:tcBorders>
              <w:top w:val="nil"/>
              <w:left w:val="nil"/>
              <w:bottom w:val="nil"/>
              <w:right w:val="nil"/>
            </w:tcBorders>
            <w:shd w:val="clear" w:color="auto" w:fill="auto"/>
            <w:noWrap/>
            <w:vAlign w:val="bottom"/>
          </w:tcPr>
          <w:p w14:paraId="0B77764C" w14:textId="77777777" w:rsidR="00485F92" w:rsidRPr="00FB00CA" w:rsidRDefault="00485F92" w:rsidP="00485F92">
            <w:pPr>
              <w:jc w:val="center"/>
              <w:rPr>
                <w:rFonts w:ascii="Geneva" w:hAnsi="Geneva"/>
                <w:sz w:val="22"/>
                <w:lang w:bidi="x-none"/>
              </w:rPr>
            </w:pPr>
            <w:r w:rsidRPr="00FB00CA">
              <w:rPr>
                <w:rFonts w:ascii="Arial" w:hAnsi="Arial"/>
                <w:sz w:val="22"/>
                <w:lang w:bidi="x-none"/>
              </w:rPr>
              <w:t>0.11</w:t>
            </w:r>
          </w:p>
        </w:tc>
        <w:tc>
          <w:tcPr>
            <w:tcW w:w="1490" w:type="dxa"/>
            <w:tcBorders>
              <w:top w:val="nil"/>
              <w:left w:val="nil"/>
              <w:bottom w:val="nil"/>
              <w:right w:val="nil"/>
            </w:tcBorders>
            <w:shd w:val="clear" w:color="auto" w:fill="auto"/>
            <w:noWrap/>
            <w:vAlign w:val="bottom"/>
          </w:tcPr>
          <w:p w14:paraId="0101E5BB" w14:textId="77777777" w:rsidR="00485F92" w:rsidRPr="00FB00CA" w:rsidRDefault="00485F92" w:rsidP="00485F92">
            <w:pPr>
              <w:jc w:val="center"/>
              <w:rPr>
                <w:rFonts w:ascii="Geneva" w:hAnsi="Geneva"/>
                <w:sz w:val="22"/>
                <w:lang w:bidi="x-none"/>
              </w:rPr>
            </w:pPr>
            <w:r w:rsidRPr="00FB00CA">
              <w:rPr>
                <w:rFonts w:ascii="Arial" w:hAnsi="Arial"/>
                <w:sz w:val="22"/>
                <w:lang w:bidi="x-none"/>
              </w:rPr>
              <w:t>0.12</w:t>
            </w:r>
          </w:p>
        </w:tc>
      </w:tr>
      <w:tr w:rsidR="00485F92" w:rsidRPr="00FB00CA" w14:paraId="6C6E2AAA" w14:textId="77777777">
        <w:trPr>
          <w:trHeight w:val="260"/>
        </w:trPr>
        <w:tc>
          <w:tcPr>
            <w:tcW w:w="2180" w:type="dxa"/>
            <w:tcBorders>
              <w:top w:val="nil"/>
              <w:left w:val="nil"/>
              <w:bottom w:val="nil"/>
              <w:right w:val="nil"/>
            </w:tcBorders>
            <w:shd w:val="clear" w:color="auto" w:fill="auto"/>
            <w:noWrap/>
            <w:vAlign w:val="bottom"/>
          </w:tcPr>
          <w:p w14:paraId="0D566D91" w14:textId="77777777" w:rsidR="00485F92" w:rsidRPr="00FB00CA" w:rsidRDefault="00485F92" w:rsidP="00485F92">
            <w:pPr>
              <w:jc w:val="right"/>
              <w:rPr>
                <w:rFonts w:ascii="Geneva" w:hAnsi="Geneva"/>
                <w:sz w:val="22"/>
                <w:lang w:bidi="x-none"/>
              </w:rPr>
            </w:pPr>
            <w:r w:rsidRPr="00FB00CA">
              <w:rPr>
                <w:rFonts w:ascii="Arial" w:hAnsi="Arial"/>
                <w:sz w:val="22"/>
                <w:lang w:bidi="x-none"/>
              </w:rPr>
              <w:t>2010</w:t>
            </w:r>
          </w:p>
        </w:tc>
        <w:tc>
          <w:tcPr>
            <w:tcW w:w="1487" w:type="dxa"/>
            <w:tcBorders>
              <w:top w:val="nil"/>
              <w:left w:val="nil"/>
              <w:bottom w:val="nil"/>
              <w:right w:val="nil"/>
            </w:tcBorders>
            <w:shd w:val="clear" w:color="auto" w:fill="auto"/>
            <w:noWrap/>
            <w:vAlign w:val="bottom"/>
          </w:tcPr>
          <w:p w14:paraId="47B606ED" w14:textId="77777777" w:rsidR="00485F92" w:rsidRPr="00FB00CA" w:rsidRDefault="00485F92" w:rsidP="00485F92">
            <w:pPr>
              <w:jc w:val="center"/>
              <w:rPr>
                <w:rFonts w:ascii="Geneva" w:hAnsi="Geneva"/>
                <w:sz w:val="22"/>
                <w:lang w:bidi="x-none"/>
              </w:rPr>
            </w:pPr>
            <w:r w:rsidRPr="00FB00CA">
              <w:rPr>
                <w:rFonts w:ascii="Arial" w:hAnsi="Arial"/>
                <w:sz w:val="22"/>
                <w:lang w:bidi="x-none"/>
              </w:rPr>
              <w:t>1.15</w:t>
            </w:r>
          </w:p>
        </w:tc>
        <w:tc>
          <w:tcPr>
            <w:tcW w:w="645" w:type="dxa"/>
            <w:tcBorders>
              <w:top w:val="nil"/>
              <w:left w:val="nil"/>
              <w:bottom w:val="nil"/>
              <w:right w:val="nil"/>
            </w:tcBorders>
            <w:shd w:val="clear" w:color="auto" w:fill="auto"/>
            <w:noWrap/>
            <w:vAlign w:val="bottom"/>
          </w:tcPr>
          <w:p w14:paraId="2D34953B" w14:textId="77777777" w:rsidR="00485F92" w:rsidRPr="00FB00CA" w:rsidRDefault="00485F92" w:rsidP="00485F92">
            <w:pPr>
              <w:jc w:val="center"/>
              <w:rPr>
                <w:rFonts w:ascii="Geneva" w:hAnsi="Geneva"/>
                <w:sz w:val="22"/>
                <w:lang w:bidi="x-none"/>
              </w:rPr>
            </w:pPr>
            <w:r w:rsidRPr="00FB00CA">
              <w:rPr>
                <w:rFonts w:ascii="Arial" w:hAnsi="Arial"/>
                <w:sz w:val="22"/>
                <w:lang w:bidi="x-none"/>
              </w:rPr>
              <w:t>1.70</w:t>
            </w:r>
          </w:p>
        </w:tc>
        <w:tc>
          <w:tcPr>
            <w:tcW w:w="1490" w:type="dxa"/>
            <w:tcBorders>
              <w:top w:val="nil"/>
              <w:left w:val="nil"/>
              <w:bottom w:val="nil"/>
              <w:right w:val="nil"/>
            </w:tcBorders>
            <w:shd w:val="clear" w:color="auto" w:fill="auto"/>
            <w:noWrap/>
            <w:vAlign w:val="bottom"/>
          </w:tcPr>
          <w:p w14:paraId="554DB7D2" w14:textId="77777777" w:rsidR="00485F92" w:rsidRPr="00FB00CA" w:rsidRDefault="00485F92" w:rsidP="00485F92">
            <w:pPr>
              <w:jc w:val="center"/>
              <w:rPr>
                <w:rFonts w:ascii="Geneva" w:hAnsi="Geneva"/>
                <w:sz w:val="22"/>
                <w:lang w:bidi="x-none"/>
              </w:rPr>
            </w:pPr>
            <w:r w:rsidRPr="00FB00CA">
              <w:rPr>
                <w:rFonts w:ascii="Arial" w:hAnsi="Arial"/>
                <w:sz w:val="22"/>
                <w:lang w:bidi="x-none"/>
              </w:rPr>
              <w:t>0.33</w:t>
            </w:r>
          </w:p>
        </w:tc>
        <w:tc>
          <w:tcPr>
            <w:tcW w:w="1487" w:type="dxa"/>
            <w:tcBorders>
              <w:top w:val="nil"/>
              <w:left w:val="nil"/>
              <w:bottom w:val="nil"/>
              <w:right w:val="nil"/>
            </w:tcBorders>
            <w:shd w:val="clear" w:color="auto" w:fill="auto"/>
            <w:noWrap/>
            <w:vAlign w:val="bottom"/>
          </w:tcPr>
          <w:p w14:paraId="2191E6C1" w14:textId="77777777" w:rsidR="00485F92" w:rsidRPr="00FB00CA" w:rsidRDefault="00485F92" w:rsidP="00485F92">
            <w:pPr>
              <w:jc w:val="center"/>
              <w:rPr>
                <w:rFonts w:ascii="Geneva" w:hAnsi="Geneva"/>
                <w:sz w:val="22"/>
                <w:lang w:bidi="x-none"/>
              </w:rPr>
            </w:pPr>
            <w:r w:rsidRPr="00FB00CA">
              <w:rPr>
                <w:rFonts w:ascii="Arial" w:hAnsi="Arial"/>
                <w:sz w:val="22"/>
                <w:lang w:bidi="x-none"/>
              </w:rPr>
              <w:t>0.71</w:t>
            </w:r>
          </w:p>
        </w:tc>
        <w:tc>
          <w:tcPr>
            <w:tcW w:w="645" w:type="dxa"/>
            <w:tcBorders>
              <w:top w:val="nil"/>
              <w:left w:val="nil"/>
              <w:bottom w:val="nil"/>
              <w:right w:val="nil"/>
            </w:tcBorders>
            <w:shd w:val="clear" w:color="auto" w:fill="auto"/>
            <w:noWrap/>
            <w:vAlign w:val="bottom"/>
          </w:tcPr>
          <w:p w14:paraId="754E506E" w14:textId="77777777" w:rsidR="00485F92" w:rsidRPr="00FB00CA" w:rsidRDefault="00485F92" w:rsidP="00485F92">
            <w:pPr>
              <w:jc w:val="center"/>
              <w:rPr>
                <w:rFonts w:ascii="Geneva" w:hAnsi="Geneva"/>
                <w:sz w:val="22"/>
                <w:lang w:bidi="x-none"/>
              </w:rPr>
            </w:pPr>
            <w:r w:rsidRPr="00FB00CA">
              <w:rPr>
                <w:rFonts w:ascii="Arial" w:hAnsi="Arial"/>
                <w:sz w:val="22"/>
                <w:lang w:bidi="x-none"/>
              </w:rPr>
              <w:t>0.57</w:t>
            </w:r>
          </w:p>
        </w:tc>
        <w:tc>
          <w:tcPr>
            <w:tcW w:w="1490" w:type="dxa"/>
            <w:tcBorders>
              <w:top w:val="nil"/>
              <w:left w:val="nil"/>
              <w:bottom w:val="nil"/>
              <w:right w:val="nil"/>
            </w:tcBorders>
            <w:shd w:val="clear" w:color="auto" w:fill="auto"/>
            <w:noWrap/>
            <w:vAlign w:val="bottom"/>
          </w:tcPr>
          <w:p w14:paraId="58706F64" w14:textId="77777777" w:rsidR="00485F92" w:rsidRPr="00FB00CA" w:rsidRDefault="00485F92" w:rsidP="00485F92">
            <w:pPr>
              <w:jc w:val="center"/>
              <w:rPr>
                <w:rFonts w:ascii="Geneva" w:hAnsi="Geneva"/>
                <w:sz w:val="22"/>
                <w:lang w:bidi="x-none"/>
              </w:rPr>
            </w:pPr>
            <w:r w:rsidRPr="00FB00CA">
              <w:rPr>
                <w:rFonts w:ascii="Arial" w:hAnsi="Arial"/>
                <w:sz w:val="22"/>
                <w:lang w:bidi="x-none"/>
              </w:rPr>
              <w:t>0.79</w:t>
            </w:r>
          </w:p>
        </w:tc>
      </w:tr>
      <w:tr w:rsidR="00485F92" w:rsidRPr="00FB00CA" w14:paraId="01AF137A" w14:textId="77777777">
        <w:trPr>
          <w:trHeight w:val="260"/>
        </w:trPr>
        <w:tc>
          <w:tcPr>
            <w:tcW w:w="2180" w:type="dxa"/>
            <w:tcBorders>
              <w:top w:val="nil"/>
              <w:left w:val="nil"/>
              <w:bottom w:val="nil"/>
              <w:right w:val="nil"/>
            </w:tcBorders>
            <w:shd w:val="clear" w:color="auto" w:fill="auto"/>
            <w:noWrap/>
            <w:vAlign w:val="bottom"/>
          </w:tcPr>
          <w:p w14:paraId="5967A5B5" w14:textId="77777777" w:rsidR="00485F92" w:rsidRPr="00FB00CA" w:rsidRDefault="00485F92" w:rsidP="00485F92">
            <w:pPr>
              <w:jc w:val="right"/>
              <w:rPr>
                <w:rFonts w:ascii="Geneva" w:hAnsi="Geneva"/>
                <w:sz w:val="22"/>
                <w:lang w:bidi="x-none"/>
              </w:rPr>
            </w:pPr>
            <w:r w:rsidRPr="00FB00CA">
              <w:rPr>
                <w:rFonts w:ascii="Arial" w:hAnsi="Arial"/>
                <w:sz w:val="22"/>
                <w:lang w:bidi="x-none"/>
              </w:rPr>
              <w:t>2011</w:t>
            </w:r>
          </w:p>
        </w:tc>
        <w:tc>
          <w:tcPr>
            <w:tcW w:w="1487" w:type="dxa"/>
            <w:tcBorders>
              <w:top w:val="nil"/>
              <w:left w:val="nil"/>
              <w:bottom w:val="nil"/>
              <w:right w:val="nil"/>
            </w:tcBorders>
            <w:shd w:val="clear" w:color="auto" w:fill="auto"/>
            <w:noWrap/>
            <w:vAlign w:val="bottom"/>
          </w:tcPr>
          <w:p w14:paraId="784CE498" w14:textId="77777777" w:rsidR="00485F92" w:rsidRPr="00FB00CA" w:rsidRDefault="00485F92" w:rsidP="00485F92">
            <w:pPr>
              <w:jc w:val="center"/>
              <w:rPr>
                <w:rFonts w:ascii="Geneva" w:hAnsi="Geneva"/>
                <w:sz w:val="22"/>
                <w:lang w:bidi="x-none"/>
              </w:rPr>
            </w:pPr>
            <w:r w:rsidRPr="00FB00CA">
              <w:rPr>
                <w:rFonts w:ascii="Arial" w:hAnsi="Arial"/>
                <w:sz w:val="22"/>
                <w:lang w:bidi="x-none"/>
              </w:rPr>
              <w:t>1.02</w:t>
            </w:r>
          </w:p>
        </w:tc>
        <w:tc>
          <w:tcPr>
            <w:tcW w:w="645" w:type="dxa"/>
            <w:tcBorders>
              <w:top w:val="nil"/>
              <w:left w:val="nil"/>
              <w:bottom w:val="nil"/>
              <w:right w:val="nil"/>
            </w:tcBorders>
            <w:shd w:val="clear" w:color="auto" w:fill="auto"/>
            <w:noWrap/>
            <w:vAlign w:val="bottom"/>
          </w:tcPr>
          <w:p w14:paraId="38EAA53D" w14:textId="77777777" w:rsidR="00485F92" w:rsidRPr="00FB00CA" w:rsidRDefault="00485F92" w:rsidP="00485F92">
            <w:pPr>
              <w:jc w:val="center"/>
              <w:rPr>
                <w:rFonts w:ascii="Geneva" w:hAnsi="Geneva"/>
                <w:sz w:val="22"/>
                <w:lang w:bidi="x-none"/>
              </w:rPr>
            </w:pPr>
            <w:r w:rsidRPr="00FB00CA">
              <w:rPr>
                <w:rFonts w:ascii="Arial" w:hAnsi="Arial"/>
                <w:sz w:val="22"/>
                <w:lang w:bidi="x-none"/>
              </w:rPr>
              <w:t>1.61</w:t>
            </w:r>
          </w:p>
        </w:tc>
        <w:tc>
          <w:tcPr>
            <w:tcW w:w="1490" w:type="dxa"/>
            <w:tcBorders>
              <w:top w:val="nil"/>
              <w:left w:val="nil"/>
              <w:bottom w:val="nil"/>
              <w:right w:val="nil"/>
            </w:tcBorders>
            <w:shd w:val="clear" w:color="auto" w:fill="auto"/>
            <w:noWrap/>
            <w:vAlign w:val="bottom"/>
          </w:tcPr>
          <w:p w14:paraId="1CD1DF1E" w14:textId="77777777" w:rsidR="00485F92" w:rsidRPr="00FB00CA" w:rsidRDefault="00485F92" w:rsidP="00485F92">
            <w:pPr>
              <w:jc w:val="center"/>
              <w:rPr>
                <w:rFonts w:ascii="Geneva" w:hAnsi="Geneva"/>
                <w:sz w:val="22"/>
                <w:lang w:bidi="x-none"/>
              </w:rPr>
            </w:pPr>
            <w:r w:rsidRPr="00FB00CA">
              <w:rPr>
                <w:rFonts w:ascii="Arial" w:hAnsi="Arial"/>
                <w:sz w:val="22"/>
                <w:lang w:bidi="x-none"/>
              </w:rPr>
              <w:t>0.17</w:t>
            </w:r>
          </w:p>
        </w:tc>
        <w:tc>
          <w:tcPr>
            <w:tcW w:w="1487" w:type="dxa"/>
            <w:tcBorders>
              <w:top w:val="nil"/>
              <w:left w:val="nil"/>
              <w:bottom w:val="nil"/>
              <w:right w:val="nil"/>
            </w:tcBorders>
            <w:shd w:val="clear" w:color="auto" w:fill="auto"/>
            <w:noWrap/>
            <w:vAlign w:val="bottom"/>
          </w:tcPr>
          <w:p w14:paraId="3A694017" w14:textId="77777777" w:rsidR="00485F92" w:rsidRPr="00FB00CA" w:rsidRDefault="00485F92" w:rsidP="00485F92">
            <w:pPr>
              <w:jc w:val="center"/>
              <w:rPr>
                <w:rFonts w:ascii="Geneva" w:hAnsi="Geneva"/>
                <w:sz w:val="22"/>
                <w:lang w:bidi="x-none"/>
              </w:rPr>
            </w:pPr>
            <w:r w:rsidRPr="00FB00CA">
              <w:rPr>
                <w:rFonts w:ascii="Arial" w:hAnsi="Arial"/>
                <w:sz w:val="22"/>
                <w:lang w:bidi="x-none"/>
              </w:rPr>
              <w:t>0.37</w:t>
            </w:r>
          </w:p>
        </w:tc>
        <w:tc>
          <w:tcPr>
            <w:tcW w:w="645" w:type="dxa"/>
            <w:tcBorders>
              <w:top w:val="nil"/>
              <w:left w:val="nil"/>
              <w:bottom w:val="nil"/>
              <w:right w:val="nil"/>
            </w:tcBorders>
            <w:shd w:val="clear" w:color="auto" w:fill="auto"/>
            <w:noWrap/>
            <w:vAlign w:val="bottom"/>
          </w:tcPr>
          <w:p w14:paraId="72CC830D" w14:textId="77777777" w:rsidR="00485F92" w:rsidRPr="00FB00CA" w:rsidRDefault="00485F92" w:rsidP="00485F92">
            <w:pPr>
              <w:jc w:val="center"/>
              <w:rPr>
                <w:rFonts w:ascii="Geneva" w:hAnsi="Geneva"/>
                <w:sz w:val="22"/>
                <w:lang w:bidi="x-none"/>
              </w:rPr>
            </w:pPr>
            <w:r w:rsidRPr="00FB00CA">
              <w:rPr>
                <w:rFonts w:ascii="Arial" w:hAnsi="Arial"/>
                <w:sz w:val="22"/>
                <w:lang w:bidi="x-none"/>
              </w:rPr>
              <w:t>0.36</w:t>
            </w:r>
          </w:p>
        </w:tc>
        <w:tc>
          <w:tcPr>
            <w:tcW w:w="1490" w:type="dxa"/>
            <w:tcBorders>
              <w:top w:val="nil"/>
              <w:left w:val="nil"/>
              <w:bottom w:val="nil"/>
              <w:right w:val="nil"/>
            </w:tcBorders>
            <w:shd w:val="clear" w:color="auto" w:fill="auto"/>
            <w:noWrap/>
            <w:vAlign w:val="bottom"/>
          </w:tcPr>
          <w:p w14:paraId="2ACC7B9E" w14:textId="77777777" w:rsidR="00485F92" w:rsidRPr="00FB00CA" w:rsidRDefault="00485F92" w:rsidP="00485F92">
            <w:pPr>
              <w:jc w:val="center"/>
              <w:rPr>
                <w:rFonts w:ascii="Geneva" w:hAnsi="Geneva"/>
                <w:sz w:val="22"/>
                <w:lang w:bidi="x-none"/>
              </w:rPr>
            </w:pPr>
            <w:r w:rsidRPr="00FB00CA">
              <w:rPr>
                <w:rFonts w:ascii="Arial" w:hAnsi="Arial"/>
                <w:sz w:val="22"/>
                <w:lang w:bidi="x-none"/>
              </w:rPr>
              <w:t>0.20</w:t>
            </w:r>
          </w:p>
        </w:tc>
      </w:tr>
      <w:tr w:rsidR="00485F92" w:rsidRPr="00FB00CA" w14:paraId="3B7612DF" w14:textId="77777777">
        <w:trPr>
          <w:trHeight w:val="260"/>
        </w:trPr>
        <w:tc>
          <w:tcPr>
            <w:tcW w:w="2180" w:type="dxa"/>
            <w:tcBorders>
              <w:top w:val="nil"/>
              <w:left w:val="nil"/>
              <w:bottom w:val="nil"/>
              <w:right w:val="nil"/>
            </w:tcBorders>
            <w:shd w:val="clear" w:color="auto" w:fill="auto"/>
            <w:noWrap/>
            <w:vAlign w:val="bottom"/>
          </w:tcPr>
          <w:p w14:paraId="348ACFD7" w14:textId="77777777" w:rsidR="00485F92" w:rsidRPr="00FB00CA" w:rsidRDefault="00485F92" w:rsidP="00485F92">
            <w:pPr>
              <w:rPr>
                <w:rFonts w:ascii="Geneva" w:hAnsi="Geneva"/>
                <w:sz w:val="22"/>
                <w:lang w:bidi="x-none"/>
              </w:rPr>
            </w:pPr>
            <w:r w:rsidRPr="00FB00CA">
              <w:rPr>
                <w:rFonts w:ascii="Arial" w:hAnsi="Arial"/>
                <w:sz w:val="22"/>
                <w:lang w:bidi="x-none"/>
              </w:rPr>
              <w:t>MeHg (ng/g OM)</w:t>
            </w:r>
          </w:p>
        </w:tc>
        <w:tc>
          <w:tcPr>
            <w:tcW w:w="1487" w:type="dxa"/>
            <w:tcBorders>
              <w:top w:val="nil"/>
              <w:left w:val="nil"/>
              <w:bottom w:val="nil"/>
              <w:right w:val="nil"/>
            </w:tcBorders>
            <w:shd w:val="clear" w:color="auto" w:fill="auto"/>
            <w:noWrap/>
            <w:vAlign w:val="bottom"/>
          </w:tcPr>
          <w:p w14:paraId="4C543E81" w14:textId="77777777" w:rsidR="00485F92" w:rsidRPr="00FB00CA" w:rsidRDefault="00485F92" w:rsidP="00485F92">
            <w:pPr>
              <w:jc w:val="center"/>
              <w:rPr>
                <w:rFonts w:ascii="Geneva" w:hAnsi="Geneva"/>
                <w:sz w:val="22"/>
                <w:lang w:bidi="x-none"/>
              </w:rPr>
            </w:pPr>
          </w:p>
        </w:tc>
        <w:tc>
          <w:tcPr>
            <w:tcW w:w="645" w:type="dxa"/>
            <w:tcBorders>
              <w:top w:val="nil"/>
              <w:left w:val="nil"/>
              <w:bottom w:val="nil"/>
              <w:right w:val="nil"/>
            </w:tcBorders>
            <w:shd w:val="clear" w:color="auto" w:fill="auto"/>
            <w:noWrap/>
            <w:vAlign w:val="bottom"/>
          </w:tcPr>
          <w:p w14:paraId="56EEABB6" w14:textId="77777777" w:rsidR="00485F92" w:rsidRPr="00FB00CA" w:rsidRDefault="00485F92" w:rsidP="00485F92">
            <w:pPr>
              <w:jc w:val="center"/>
              <w:rPr>
                <w:rFonts w:ascii="Geneva" w:hAnsi="Geneva"/>
                <w:sz w:val="22"/>
                <w:lang w:bidi="x-none"/>
              </w:rPr>
            </w:pPr>
          </w:p>
        </w:tc>
        <w:tc>
          <w:tcPr>
            <w:tcW w:w="1490" w:type="dxa"/>
            <w:tcBorders>
              <w:top w:val="nil"/>
              <w:left w:val="nil"/>
              <w:bottom w:val="nil"/>
              <w:right w:val="nil"/>
            </w:tcBorders>
            <w:shd w:val="clear" w:color="auto" w:fill="auto"/>
            <w:noWrap/>
            <w:vAlign w:val="bottom"/>
          </w:tcPr>
          <w:p w14:paraId="1D3E3E96" w14:textId="77777777" w:rsidR="00485F92" w:rsidRPr="00FB00CA" w:rsidRDefault="00485F92" w:rsidP="00485F92">
            <w:pPr>
              <w:jc w:val="center"/>
              <w:rPr>
                <w:rFonts w:ascii="Geneva" w:hAnsi="Geneva"/>
                <w:sz w:val="22"/>
                <w:lang w:bidi="x-none"/>
              </w:rPr>
            </w:pPr>
          </w:p>
        </w:tc>
        <w:tc>
          <w:tcPr>
            <w:tcW w:w="1487" w:type="dxa"/>
            <w:tcBorders>
              <w:top w:val="nil"/>
              <w:left w:val="nil"/>
              <w:bottom w:val="nil"/>
              <w:right w:val="nil"/>
            </w:tcBorders>
            <w:shd w:val="clear" w:color="auto" w:fill="auto"/>
            <w:noWrap/>
            <w:vAlign w:val="bottom"/>
          </w:tcPr>
          <w:p w14:paraId="77F3AF52" w14:textId="77777777" w:rsidR="00485F92" w:rsidRPr="00FB00CA" w:rsidRDefault="00485F92" w:rsidP="00485F92">
            <w:pPr>
              <w:jc w:val="center"/>
              <w:rPr>
                <w:rFonts w:ascii="Geneva" w:hAnsi="Geneva"/>
                <w:sz w:val="22"/>
                <w:lang w:bidi="x-none"/>
              </w:rPr>
            </w:pPr>
          </w:p>
        </w:tc>
        <w:tc>
          <w:tcPr>
            <w:tcW w:w="645" w:type="dxa"/>
            <w:tcBorders>
              <w:top w:val="nil"/>
              <w:left w:val="nil"/>
              <w:bottom w:val="nil"/>
              <w:right w:val="nil"/>
            </w:tcBorders>
            <w:shd w:val="clear" w:color="auto" w:fill="auto"/>
            <w:noWrap/>
            <w:vAlign w:val="bottom"/>
          </w:tcPr>
          <w:p w14:paraId="5A99CAC8" w14:textId="77777777" w:rsidR="00485F92" w:rsidRPr="00FB00CA" w:rsidRDefault="00485F92" w:rsidP="00485F92">
            <w:pPr>
              <w:jc w:val="center"/>
              <w:rPr>
                <w:rFonts w:ascii="Geneva" w:hAnsi="Geneva"/>
                <w:sz w:val="22"/>
                <w:lang w:bidi="x-none"/>
              </w:rPr>
            </w:pPr>
          </w:p>
        </w:tc>
        <w:tc>
          <w:tcPr>
            <w:tcW w:w="1490" w:type="dxa"/>
            <w:tcBorders>
              <w:top w:val="nil"/>
              <w:left w:val="nil"/>
              <w:bottom w:val="nil"/>
              <w:right w:val="nil"/>
            </w:tcBorders>
            <w:shd w:val="clear" w:color="auto" w:fill="auto"/>
            <w:noWrap/>
            <w:vAlign w:val="bottom"/>
          </w:tcPr>
          <w:p w14:paraId="59054D5F" w14:textId="77777777" w:rsidR="00485F92" w:rsidRPr="00FB00CA" w:rsidRDefault="00485F92" w:rsidP="00485F92">
            <w:pPr>
              <w:jc w:val="center"/>
              <w:rPr>
                <w:rFonts w:ascii="Geneva" w:hAnsi="Geneva"/>
                <w:sz w:val="22"/>
                <w:lang w:bidi="x-none"/>
              </w:rPr>
            </w:pPr>
          </w:p>
        </w:tc>
      </w:tr>
      <w:tr w:rsidR="00485F92" w:rsidRPr="00FB00CA" w14:paraId="13DCF66B" w14:textId="77777777">
        <w:trPr>
          <w:trHeight w:val="260"/>
        </w:trPr>
        <w:tc>
          <w:tcPr>
            <w:tcW w:w="2180" w:type="dxa"/>
            <w:tcBorders>
              <w:top w:val="nil"/>
              <w:left w:val="nil"/>
              <w:bottom w:val="nil"/>
              <w:right w:val="nil"/>
            </w:tcBorders>
            <w:shd w:val="clear" w:color="auto" w:fill="auto"/>
            <w:noWrap/>
            <w:vAlign w:val="bottom"/>
          </w:tcPr>
          <w:p w14:paraId="3BBEDB4A" w14:textId="77777777" w:rsidR="00485F92" w:rsidRPr="00FB00CA" w:rsidRDefault="00485F92" w:rsidP="00485F92">
            <w:pPr>
              <w:jc w:val="right"/>
              <w:rPr>
                <w:rFonts w:ascii="Geneva" w:hAnsi="Geneva"/>
                <w:sz w:val="22"/>
                <w:lang w:bidi="x-none"/>
              </w:rPr>
            </w:pPr>
            <w:r w:rsidRPr="00FB00CA">
              <w:rPr>
                <w:rFonts w:ascii="Arial" w:hAnsi="Arial"/>
                <w:sz w:val="22"/>
                <w:lang w:bidi="x-none"/>
              </w:rPr>
              <w:t>2009</w:t>
            </w:r>
          </w:p>
        </w:tc>
        <w:tc>
          <w:tcPr>
            <w:tcW w:w="1487" w:type="dxa"/>
            <w:tcBorders>
              <w:top w:val="nil"/>
              <w:left w:val="nil"/>
              <w:bottom w:val="nil"/>
              <w:right w:val="nil"/>
            </w:tcBorders>
            <w:shd w:val="clear" w:color="auto" w:fill="auto"/>
            <w:noWrap/>
            <w:vAlign w:val="bottom"/>
          </w:tcPr>
          <w:p w14:paraId="23EF7D67" w14:textId="77777777" w:rsidR="00485F92" w:rsidRPr="00FB00CA" w:rsidRDefault="00485F92" w:rsidP="00485F92">
            <w:pPr>
              <w:jc w:val="center"/>
              <w:rPr>
                <w:rFonts w:ascii="Geneva" w:hAnsi="Geneva"/>
                <w:sz w:val="22"/>
                <w:lang w:bidi="x-none"/>
              </w:rPr>
            </w:pPr>
            <w:r w:rsidRPr="00FB00CA">
              <w:rPr>
                <w:rFonts w:ascii="Arial" w:hAnsi="Arial"/>
                <w:sz w:val="22"/>
                <w:lang w:bidi="x-none"/>
              </w:rPr>
              <w:t>3.31</w:t>
            </w:r>
          </w:p>
        </w:tc>
        <w:tc>
          <w:tcPr>
            <w:tcW w:w="645" w:type="dxa"/>
            <w:tcBorders>
              <w:top w:val="nil"/>
              <w:left w:val="nil"/>
              <w:bottom w:val="nil"/>
              <w:right w:val="nil"/>
            </w:tcBorders>
            <w:shd w:val="clear" w:color="auto" w:fill="auto"/>
            <w:noWrap/>
            <w:vAlign w:val="bottom"/>
          </w:tcPr>
          <w:p w14:paraId="35AA91E4" w14:textId="77777777" w:rsidR="00485F92" w:rsidRPr="00FB00CA" w:rsidRDefault="00485F92" w:rsidP="00485F92">
            <w:pPr>
              <w:jc w:val="center"/>
              <w:rPr>
                <w:rFonts w:ascii="Geneva" w:hAnsi="Geneva"/>
                <w:sz w:val="22"/>
                <w:lang w:bidi="x-none"/>
              </w:rPr>
            </w:pPr>
            <w:r w:rsidRPr="00FB00CA">
              <w:rPr>
                <w:rFonts w:ascii="Arial" w:hAnsi="Arial"/>
                <w:sz w:val="22"/>
                <w:lang w:bidi="x-none"/>
              </w:rPr>
              <w:t>2.73</w:t>
            </w:r>
          </w:p>
        </w:tc>
        <w:tc>
          <w:tcPr>
            <w:tcW w:w="1490" w:type="dxa"/>
            <w:tcBorders>
              <w:top w:val="nil"/>
              <w:left w:val="nil"/>
              <w:bottom w:val="nil"/>
              <w:right w:val="nil"/>
            </w:tcBorders>
            <w:shd w:val="clear" w:color="auto" w:fill="auto"/>
            <w:noWrap/>
            <w:vAlign w:val="bottom"/>
          </w:tcPr>
          <w:p w14:paraId="6BAB9784" w14:textId="77777777" w:rsidR="00485F92" w:rsidRPr="00FB00CA" w:rsidRDefault="00485F92" w:rsidP="00485F92">
            <w:pPr>
              <w:jc w:val="center"/>
              <w:rPr>
                <w:rFonts w:ascii="Geneva" w:hAnsi="Geneva"/>
                <w:sz w:val="22"/>
                <w:lang w:bidi="x-none"/>
              </w:rPr>
            </w:pPr>
            <w:r w:rsidRPr="00FB00CA">
              <w:rPr>
                <w:rFonts w:ascii="Arial" w:hAnsi="Arial"/>
                <w:sz w:val="22"/>
                <w:lang w:bidi="x-none"/>
              </w:rPr>
              <w:t>2.62</w:t>
            </w:r>
          </w:p>
        </w:tc>
        <w:tc>
          <w:tcPr>
            <w:tcW w:w="1487" w:type="dxa"/>
            <w:tcBorders>
              <w:top w:val="nil"/>
              <w:left w:val="nil"/>
              <w:bottom w:val="nil"/>
              <w:right w:val="nil"/>
            </w:tcBorders>
            <w:shd w:val="clear" w:color="auto" w:fill="auto"/>
            <w:noWrap/>
            <w:vAlign w:val="bottom"/>
          </w:tcPr>
          <w:p w14:paraId="30E08BEE" w14:textId="77777777" w:rsidR="00485F92" w:rsidRPr="00FB00CA" w:rsidRDefault="00485F92" w:rsidP="00485F92">
            <w:pPr>
              <w:jc w:val="center"/>
              <w:rPr>
                <w:rFonts w:ascii="Geneva" w:hAnsi="Geneva"/>
                <w:sz w:val="22"/>
                <w:lang w:bidi="x-none"/>
              </w:rPr>
            </w:pPr>
            <w:r w:rsidRPr="00FB00CA">
              <w:rPr>
                <w:rFonts w:ascii="Arial" w:hAnsi="Arial"/>
                <w:sz w:val="22"/>
                <w:lang w:bidi="x-none"/>
              </w:rPr>
              <w:t>1.16</w:t>
            </w:r>
          </w:p>
        </w:tc>
        <w:tc>
          <w:tcPr>
            <w:tcW w:w="645" w:type="dxa"/>
            <w:tcBorders>
              <w:top w:val="nil"/>
              <w:left w:val="nil"/>
              <w:bottom w:val="nil"/>
              <w:right w:val="nil"/>
            </w:tcBorders>
            <w:shd w:val="clear" w:color="auto" w:fill="auto"/>
            <w:noWrap/>
            <w:vAlign w:val="bottom"/>
          </w:tcPr>
          <w:p w14:paraId="3164EF5F" w14:textId="77777777" w:rsidR="00485F92" w:rsidRPr="00FB00CA" w:rsidRDefault="00485F92" w:rsidP="00485F92">
            <w:pPr>
              <w:jc w:val="center"/>
              <w:rPr>
                <w:rFonts w:ascii="Geneva" w:hAnsi="Geneva"/>
                <w:sz w:val="22"/>
                <w:lang w:bidi="x-none"/>
              </w:rPr>
            </w:pPr>
            <w:r w:rsidRPr="00FB00CA">
              <w:rPr>
                <w:rFonts w:ascii="Arial" w:hAnsi="Arial"/>
                <w:sz w:val="22"/>
                <w:lang w:bidi="x-none"/>
              </w:rPr>
              <w:t>0.98</w:t>
            </w:r>
          </w:p>
        </w:tc>
        <w:tc>
          <w:tcPr>
            <w:tcW w:w="1490" w:type="dxa"/>
            <w:tcBorders>
              <w:top w:val="nil"/>
              <w:left w:val="nil"/>
              <w:bottom w:val="nil"/>
              <w:right w:val="nil"/>
            </w:tcBorders>
            <w:shd w:val="clear" w:color="auto" w:fill="auto"/>
            <w:noWrap/>
            <w:vAlign w:val="bottom"/>
          </w:tcPr>
          <w:p w14:paraId="083FD50D" w14:textId="77777777" w:rsidR="00485F92" w:rsidRPr="00FB00CA" w:rsidRDefault="00485F92" w:rsidP="00485F92">
            <w:pPr>
              <w:jc w:val="center"/>
              <w:rPr>
                <w:rFonts w:ascii="Geneva" w:hAnsi="Geneva"/>
                <w:sz w:val="22"/>
                <w:lang w:bidi="x-none"/>
              </w:rPr>
            </w:pPr>
            <w:r w:rsidRPr="00FB00CA">
              <w:rPr>
                <w:rFonts w:ascii="Arial" w:hAnsi="Arial"/>
                <w:sz w:val="22"/>
                <w:lang w:bidi="x-none"/>
              </w:rPr>
              <w:t>0.75</w:t>
            </w:r>
          </w:p>
        </w:tc>
      </w:tr>
      <w:tr w:rsidR="00485F92" w:rsidRPr="00FB00CA" w14:paraId="469140C9" w14:textId="77777777">
        <w:trPr>
          <w:trHeight w:val="260"/>
        </w:trPr>
        <w:tc>
          <w:tcPr>
            <w:tcW w:w="2180" w:type="dxa"/>
            <w:tcBorders>
              <w:top w:val="nil"/>
              <w:left w:val="nil"/>
              <w:bottom w:val="nil"/>
              <w:right w:val="nil"/>
            </w:tcBorders>
            <w:shd w:val="clear" w:color="auto" w:fill="auto"/>
            <w:noWrap/>
            <w:vAlign w:val="bottom"/>
          </w:tcPr>
          <w:p w14:paraId="1EE61E2C" w14:textId="77777777" w:rsidR="00485F92" w:rsidRPr="00FB00CA" w:rsidRDefault="00485F92" w:rsidP="00485F92">
            <w:pPr>
              <w:jc w:val="right"/>
              <w:rPr>
                <w:rFonts w:ascii="Geneva" w:hAnsi="Geneva"/>
                <w:sz w:val="22"/>
                <w:lang w:bidi="x-none"/>
              </w:rPr>
            </w:pPr>
            <w:r w:rsidRPr="00FB00CA">
              <w:rPr>
                <w:rFonts w:ascii="Arial" w:hAnsi="Arial"/>
                <w:sz w:val="22"/>
                <w:lang w:bidi="x-none"/>
              </w:rPr>
              <w:t>2010</w:t>
            </w:r>
          </w:p>
        </w:tc>
        <w:tc>
          <w:tcPr>
            <w:tcW w:w="1487" w:type="dxa"/>
            <w:tcBorders>
              <w:top w:val="nil"/>
              <w:left w:val="nil"/>
              <w:bottom w:val="nil"/>
              <w:right w:val="nil"/>
            </w:tcBorders>
            <w:shd w:val="clear" w:color="auto" w:fill="auto"/>
            <w:noWrap/>
            <w:vAlign w:val="bottom"/>
          </w:tcPr>
          <w:p w14:paraId="7D203368" w14:textId="77777777" w:rsidR="00485F92" w:rsidRPr="00FB00CA" w:rsidRDefault="00485F92" w:rsidP="00485F92">
            <w:pPr>
              <w:jc w:val="center"/>
              <w:rPr>
                <w:rFonts w:ascii="Geneva" w:hAnsi="Geneva"/>
                <w:sz w:val="22"/>
                <w:lang w:bidi="x-none"/>
              </w:rPr>
            </w:pPr>
            <w:r w:rsidRPr="00FB00CA">
              <w:rPr>
                <w:rFonts w:ascii="Arial" w:hAnsi="Arial"/>
                <w:sz w:val="22"/>
                <w:lang w:bidi="x-none"/>
              </w:rPr>
              <w:t>5.01</w:t>
            </w:r>
          </w:p>
        </w:tc>
        <w:tc>
          <w:tcPr>
            <w:tcW w:w="645" w:type="dxa"/>
            <w:tcBorders>
              <w:top w:val="nil"/>
              <w:left w:val="nil"/>
              <w:bottom w:val="nil"/>
              <w:right w:val="nil"/>
            </w:tcBorders>
            <w:shd w:val="clear" w:color="auto" w:fill="auto"/>
            <w:noWrap/>
            <w:vAlign w:val="bottom"/>
          </w:tcPr>
          <w:p w14:paraId="57610A2D" w14:textId="77777777" w:rsidR="00485F92" w:rsidRPr="00FB00CA" w:rsidRDefault="00485F92" w:rsidP="00485F92">
            <w:pPr>
              <w:jc w:val="center"/>
              <w:rPr>
                <w:rFonts w:ascii="Geneva" w:hAnsi="Geneva"/>
                <w:sz w:val="22"/>
                <w:lang w:bidi="x-none"/>
              </w:rPr>
            </w:pPr>
            <w:r w:rsidRPr="00FB00CA">
              <w:rPr>
                <w:rFonts w:ascii="Arial" w:hAnsi="Arial"/>
                <w:sz w:val="22"/>
                <w:lang w:bidi="x-none"/>
              </w:rPr>
              <w:t>5.09</w:t>
            </w:r>
          </w:p>
        </w:tc>
        <w:tc>
          <w:tcPr>
            <w:tcW w:w="1490" w:type="dxa"/>
            <w:tcBorders>
              <w:top w:val="nil"/>
              <w:left w:val="nil"/>
              <w:bottom w:val="nil"/>
              <w:right w:val="nil"/>
            </w:tcBorders>
            <w:shd w:val="clear" w:color="auto" w:fill="auto"/>
            <w:noWrap/>
            <w:vAlign w:val="bottom"/>
          </w:tcPr>
          <w:p w14:paraId="40D041AE" w14:textId="77777777" w:rsidR="00485F92" w:rsidRPr="00FB00CA" w:rsidRDefault="00485F92" w:rsidP="00485F92">
            <w:pPr>
              <w:jc w:val="center"/>
              <w:rPr>
                <w:rFonts w:ascii="Geneva" w:hAnsi="Geneva"/>
                <w:sz w:val="22"/>
                <w:lang w:bidi="x-none"/>
              </w:rPr>
            </w:pPr>
            <w:r w:rsidRPr="00FB00CA">
              <w:rPr>
                <w:rFonts w:ascii="Arial" w:hAnsi="Arial"/>
                <w:sz w:val="22"/>
                <w:lang w:bidi="x-none"/>
              </w:rPr>
              <w:t>2.91</w:t>
            </w:r>
          </w:p>
        </w:tc>
        <w:tc>
          <w:tcPr>
            <w:tcW w:w="1487" w:type="dxa"/>
            <w:tcBorders>
              <w:top w:val="nil"/>
              <w:left w:val="nil"/>
              <w:bottom w:val="nil"/>
              <w:right w:val="nil"/>
            </w:tcBorders>
            <w:shd w:val="clear" w:color="auto" w:fill="auto"/>
            <w:noWrap/>
            <w:vAlign w:val="bottom"/>
          </w:tcPr>
          <w:p w14:paraId="1074882E" w14:textId="77777777" w:rsidR="00485F92" w:rsidRPr="00FB00CA" w:rsidRDefault="00485F92" w:rsidP="00485F92">
            <w:pPr>
              <w:jc w:val="center"/>
              <w:rPr>
                <w:rFonts w:ascii="Geneva" w:hAnsi="Geneva"/>
                <w:sz w:val="22"/>
                <w:lang w:bidi="x-none"/>
              </w:rPr>
            </w:pPr>
            <w:r w:rsidRPr="00FB00CA">
              <w:rPr>
                <w:rFonts w:ascii="Arial" w:hAnsi="Arial"/>
                <w:sz w:val="22"/>
                <w:lang w:bidi="x-none"/>
              </w:rPr>
              <w:t>3.50</w:t>
            </w:r>
          </w:p>
        </w:tc>
        <w:tc>
          <w:tcPr>
            <w:tcW w:w="645" w:type="dxa"/>
            <w:tcBorders>
              <w:top w:val="nil"/>
              <w:left w:val="nil"/>
              <w:bottom w:val="nil"/>
              <w:right w:val="nil"/>
            </w:tcBorders>
            <w:shd w:val="clear" w:color="auto" w:fill="auto"/>
            <w:noWrap/>
            <w:vAlign w:val="bottom"/>
          </w:tcPr>
          <w:p w14:paraId="619909A0" w14:textId="77777777" w:rsidR="00485F92" w:rsidRPr="00FB00CA" w:rsidRDefault="00485F92" w:rsidP="00485F92">
            <w:pPr>
              <w:jc w:val="center"/>
              <w:rPr>
                <w:rFonts w:ascii="Geneva" w:hAnsi="Geneva"/>
                <w:sz w:val="22"/>
                <w:lang w:bidi="x-none"/>
              </w:rPr>
            </w:pPr>
            <w:r w:rsidRPr="00FB00CA">
              <w:rPr>
                <w:rFonts w:ascii="Arial" w:hAnsi="Arial"/>
                <w:sz w:val="22"/>
                <w:lang w:bidi="x-none"/>
              </w:rPr>
              <w:t>1.89</w:t>
            </w:r>
          </w:p>
        </w:tc>
        <w:tc>
          <w:tcPr>
            <w:tcW w:w="1490" w:type="dxa"/>
            <w:tcBorders>
              <w:top w:val="nil"/>
              <w:left w:val="nil"/>
              <w:bottom w:val="nil"/>
              <w:right w:val="nil"/>
            </w:tcBorders>
            <w:shd w:val="clear" w:color="auto" w:fill="auto"/>
            <w:noWrap/>
            <w:vAlign w:val="bottom"/>
          </w:tcPr>
          <w:p w14:paraId="471332D0" w14:textId="77777777" w:rsidR="00485F92" w:rsidRPr="00FB00CA" w:rsidRDefault="00485F92" w:rsidP="00485F92">
            <w:pPr>
              <w:jc w:val="center"/>
              <w:rPr>
                <w:rFonts w:ascii="Geneva" w:hAnsi="Geneva"/>
                <w:sz w:val="22"/>
                <w:lang w:bidi="x-none"/>
              </w:rPr>
            </w:pPr>
            <w:r w:rsidRPr="00FB00CA">
              <w:rPr>
                <w:rFonts w:ascii="Arial" w:hAnsi="Arial"/>
                <w:sz w:val="22"/>
                <w:lang w:bidi="x-none"/>
              </w:rPr>
              <w:t>3.58</w:t>
            </w:r>
          </w:p>
        </w:tc>
      </w:tr>
      <w:tr w:rsidR="00485F92" w:rsidRPr="00FB00CA" w14:paraId="33E49115" w14:textId="77777777">
        <w:trPr>
          <w:trHeight w:val="260"/>
        </w:trPr>
        <w:tc>
          <w:tcPr>
            <w:tcW w:w="2180" w:type="dxa"/>
            <w:tcBorders>
              <w:top w:val="nil"/>
              <w:left w:val="nil"/>
              <w:bottom w:val="nil"/>
              <w:right w:val="nil"/>
            </w:tcBorders>
            <w:shd w:val="clear" w:color="auto" w:fill="auto"/>
            <w:noWrap/>
            <w:vAlign w:val="bottom"/>
          </w:tcPr>
          <w:p w14:paraId="4D6F3616" w14:textId="77777777" w:rsidR="00485F92" w:rsidRPr="00FB00CA" w:rsidRDefault="00485F92" w:rsidP="00485F92">
            <w:pPr>
              <w:jc w:val="right"/>
              <w:rPr>
                <w:rFonts w:ascii="Geneva" w:hAnsi="Geneva"/>
                <w:sz w:val="22"/>
                <w:lang w:bidi="x-none"/>
              </w:rPr>
            </w:pPr>
            <w:r w:rsidRPr="00FB00CA">
              <w:rPr>
                <w:rFonts w:ascii="Arial" w:hAnsi="Arial"/>
                <w:sz w:val="22"/>
                <w:lang w:bidi="x-none"/>
              </w:rPr>
              <w:t>2011</w:t>
            </w:r>
          </w:p>
        </w:tc>
        <w:tc>
          <w:tcPr>
            <w:tcW w:w="1487" w:type="dxa"/>
            <w:tcBorders>
              <w:top w:val="nil"/>
              <w:left w:val="nil"/>
              <w:bottom w:val="nil"/>
              <w:right w:val="nil"/>
            </w:tcBorders>
            <w:shd w:val="clear" w:color="auto" w:fill="auto"/>
            <w:noWrap/>
            <w:vAlign w:val="bottom"/>
          </w:tcPr>
          <w:p w14:paraId="3E7AC661" w14:textId="77777777" w:rsidR="00485F92" w:rsidRPr="00FB00CA" w:rsidRDefault="00485F92" w:rsidP="00485F92">
            <w:pPr>
              <w:jc w:val="center"/>
              <w:rPr>
                <w:rFonts w:ascii="Geneva" w:hAnsi="Geneva"/>
                <w:sz w:val="22"/>
                <w:lang w:bidi="x-none"/>
              </w:rPr>
            </w:pPr>
            <w:r w:rsidRPr="00FB00CA">
              <w:rPr>
                <w:rFonts w:ascii="Arial" w:hAnsi="Arial"/>
                <w:sz w:val="22"/>
                <w:lang w:bidi="x-none"/>
              </w:rPr>
              <w:t>3.86</w:t>
            </w:r>
          </w:p>
        </w:tc>
        <w:tc>
          <w:tcPr>
            <w:tcW w:w="645" w:type="dxa"/>
            <w:tcBorders>
              <w:top w:val="nil"/>
              <w:left w:val="nil"/>
              <w:bottom w:val="nil"/>
              <w:right w:val="nil"/>
            </w:tcBorders>
            <w:shd w:val="clear" w:color="auto" w:fill="auto"/>
            <w:noWrap/>
            <w:vAlign w:val="bottom"/>
          </w:tcPr>
          <w:p w14:paraId="07194FA8" w14:textId="77777777" w:rsidR="00485F92" w:rsidRPr="00FB00CA" w:rsidRDefault="00485F92" w:rsidP="00485F92">
            <w:pPr>
              <w:jc w:val="center"/>
              <w:rPr>
                <w:rFonts w:ascii="Geneva" w:hAnsi="Geneva"/>
                <w:sz w:val="22"/>
                <w:lang w:bidi="x-none"/>
              </w:rPr>
            </w:pPr>
            <w:r w:rsidRPr="00FB00CA">
              <w:rPr>
                <w:rFonts w:ascii="Arial" w:hAnsi="Arial"/>
                <w:sz w:val="22"/>
                <w:lang w:bidi="x-none"/>
              </w:rPr>
              <w:t>4.27</w:t>
            </w:r>
          </w:p>
        </w:tc>
        <w:tc>
          <w:tcPr>
            <w:tcW w:w="1490" w:type="dxa"/>
            <w:tcBorders>
              <w:top w:val="nil"/>
              <w:left w:val="nil"/>
              <w:bottom w:val="nil"/>
              <w:right w:val="nil"/>
            </w:tcBorders>
            <w:shd w:val="clear" w:color="auto" w:fill="auto"/>
            <w:noWrap/>
            <w:vAlign w:val="bottom"/>
          </w:tcPr>
          <w:p w14:paraId="7111A064" w14:textId="77777777" w:rsidR="00485F92" w:rsidRPr="00FB00CA" w:rsidRDefault="00485F92" w:rsidP="00485F92">
            <w:pPr>
              <w:jc w:val="center"/>
              <w:rPr>
                <w:rFonts w:ascii="Geneva" w:hAnsi="Geneva"/>
                <w:sz w:val="22"/>
                <w:lang w:bidi="x-none"/>
              </w:rPr>
            </w:pPr>
            <w:r w:rsidRPr="00FB00CA">
              <w:rPr>
                <w:rFonts w:ascii="Arial" w:hAnsi="Arial"/>
                <w:sz w:val="22"/>
                <w:lang w:bidi="x-none"/>
              </w:rPr>
              <w:t>2.38</w:t>
            </w:r>
          </w:p>
        </w:tc>
        <w:tc>
          <w:tcPr>
            <w:tcW w:w="1487" w:type="dxa"/>
            <w:tcBorders>
              <w:top w:val="nil"/>
              <w:left w:val="nil"/>
              <w:bottom w:val="nil"/>
              <w:right w:val="nil"/>
            </w:tcBorders>
            <w:shd w:val="clear" w:color="auto" w:fill="auto"/>
            <w:noWrap/>
            <w:vAlign w:val="bottom"/>
          </w:tcPr>
          <w:p w14:paraId="4C431DA7" w14:textId="77777777" w:rsidR="00485F92" w:rsidRPr="00FB00CA" w:rsidRDefault="00485F92" w:rsidP="00485F92">
            <w:pPr>
              <w:jc w:val="center"/>
              <w:rPr>
                <w:rFonts w:ascii="Geneva" w:hAnsi="Geneva"/>
                <w:sz w:val="22"/>
                <w:lang w:bidi="x-none"/>
              </w:rPr>
            </w:pPr>
            <w:r w:rsidRPr="00FB00CA">
              <w:rPr>
                <w:rFonts w:ascii="Arial" w:hAnsi="Arial"/>
                <w:sz w:val="22"/>
                <w:lang w:bidi="x-none"/>
              </w:rPr>
              <w:t>2.30</w:t>
            </w:r>
          </w:p>
        </w:tc>
        <w:tc>
          <w:tcPr>
            <w:tcW w:w="645" w:type="dxa"/>
            <w:tcBorders>
              <w:top w:val="nil"/>
              <w:left w:val="nil"/>
              <w:bottom w:val="nil"/>
              <w:right w:val="nil"/>
            </w:tcBorders>
            <w:shd w:val="clear" w:color="auto" w:fill="auto"/>
            <w:noWrap/>
            <w:vAlign w:val="bottom"/>
          </w:tcPr>
          <w:p w14:paraId="45D57D4A" w14:textId="77777777" w:rsidR="00485F92" w:rsidRPr="00FB00CA" w:rsidRDefault="00485F92" w:rsidP="00485F92">
            <w:pPr>
              <w:jc w:val="center"/>
              <w:rPr>
                <w:rFonts w:ascii="Geneva" w:hAnsi="Geneva"/>
                <w:sz w:val="22"/>
                <w:lang w:bidi="x-none"/>
              </w:rPr>
            </w:pPr>
            <w:r w:rsidRPr="00FB00CA">
              <w:rPr>
                <w:rFonts w:ascii="Arial" w:hAnsi="Arial"/>
                <w:sz w:val="22"/>
                <w:lang w:bidi="x-none"/>
              </w:rPr>
              <w:t>1.43</w:t>
            </w:r>
          </w:p>
        </w:tc>
        <w:tc>
          <w:tcPr>
            <w:tcW w:w="1490" w:type="dxa"/>
            <w:tcBorders>
              <w:top w:val="nil"/>
              <w:left w:val="nil"/>
              <w:bottom w:val="nil"/>
              <w:right w:val="nil"/>
            </w:tcBorders>
            <w:shd w:val="clear" w:color="auto" w:fill="auto"/>
            <w:noWrap/>
            <w:vAlign w:val="bottom"/>
          </w:tcPr>
          <w:p w14:paraId="2A344FC2" w14:textId="77777777" w:rsidR="00485F92" w:rsidRPr="00FB00CA" w:rsidRDefault="00485F92" w:rsidP="00485F92">
            <w:pPr>
              <w:jc w:val="center"/>
              <w:rPr>
                <w:rFonts w:ascii="Geneva" w:hAnsi="Geneva"/>
                <w:sz w:val="22"/>
                <w:lang w:bidi="x-none"/>
              </w:rPr>
            </w:pPr>
            <w:r w:rsidRPr="00FB00CA">
              <w:rPr>
                <w:rFonts w:ascii="Arial" w:hAnsi="Arial"/>
                <w:sz w:val="22"/>
                <w:lang w:bidi="x-none"/>
              </w:rPr>
              <w:t>2.02</w:t>
            </w:r>
          </w:p>
        </w:tc>
      </w:tr>
      <w:tr w:rsidR="00485F92" w:rsidRPr="00FB00CA" w14:paraId="21BA4F64" w14:textId="77777777">
        <w:trPr>
          <w:trHeight w:val="260"/>
        </w:trPr>
        <w:tc>
          <w:tcPr>
            <w:tcW w:w="2180" w:type="dxa"/>
            <w:tcBorders>
              <w:top w:val="nil"/>
              <w:left w:val="nil"/>
              <w:bottom w:val="nil"/>
              <w:right w:val="nil"/>
            </w:tcBorders>
            <w:shd w:val="clear" w:color="auto" w:fill="auto"/>
            <w:noWrap/>
            <w:vAlign w:val="bottom"/>
          </w:tcPr>
          <w:p w14:paraId="629E90AB" w14:textId="77777777" w:rsidR="00485F92" w:rsidRPr="00FB00CA" w:rsidRDefault="00485F92" w:rsidP="00485F92">
            <w:pPr>
              <w:rPr>
                <w:rFonts w:ascii="Geneva" w:hAnsi="Geneva"/>
                <w:sz w:val="22"/>
                <w:lang w:bidi="x-none"/>
              </w:rPr>
            </w:pPr>
            <w:r w:rsidRPr="00FB00CA">
              <w:rPr>
                <w:rFonts w:ascii="Arial" w:hAnsi="Arial"/>
                <w:sz w:val="22"/>
                <w:lang w:bidi="x-none"/>
              </w:rPr>
              <w:t>%MeHg</w:t>
            </w:r>
          </w:p>
        </w:tc>
        <w:tc>
          <w:tcPr>
            <w:tcW w:w="1487" w:type="dxa"/>
            <w:tcBorders>
              <w:top w:val="nil"/>
              <w:left w:val="nil"/>
              <w:bottom w:val="nil"/>
              <w:right w:val="nil"/>
            </w:tcBorders>
            <w:shd w:val="clear" w:color="auto" w:fill="auto"/>
            <w:noWrap/>
            <w:vAlign w:val="bottom"/>
          </w:tcPr>
          <w:p w14:paraId="7820D93E" w14:textId="77777777" w:rsidR="00485F92" w:rsidRPr="00FB00CA" w:rsidRDefault="00485F92" w:rsidP="00485F92">
            <w:pPr>
              <w:jc w:val="center"/>
              <w:rPr>
                <w:rFonts w:ascii="Geneva" w:hAnsi="Geneva"/>
                <w:sz w:val="22"/>
                <w:lang w:bidi="x-none"/>
              </w:rPr>
            </w:pPr>
          </w:p>
        </w:tc>
        <w:tc>
          <w:tcPr>
            <w:tcW w:w="645" w:type="dxa"/>
            <w:tcBorders>
              <w:top w:val="nil"/>
              <w:left w:val="nil"/>
              <w:bottom w:val="nil"/>
              <w:right w:val="nil"/>
            </w:tcBorders>
            <w:shd w:val="clear" w:color="auto" w:fill="auto"/>
            <w:noWrap/>
            <w:vAlign w:val="bottom"/>
          </w:tcPr>
          <w:p w14:paraId="1F3B19A9" w14:textId="77777777" w:rsidR="00485F92" w:rsidRPr="00FB00CA" w:rsidRDefault="00485F92" w:rsidP="00485F92">
            <w:pPr>
              <w:jc w:val="center"/>
              <w:rPr>
                <w:rFonts w:ascii="Geneva" w:hAnsi="Geneva"/>
                <w:sz w:val="22"/>
                <w:lang w:bidi="x-none"/>
              </w:rPr>
            </w:pPr>
          </w:p>
        </w:tc>
        <w:tc>
          <w:tcPr>
            <w:tcW w:w="1490" w:type="dxa"/>
            <w:tcBorders>
              <w:top w:val="nil"/>
              <w:left w:val="nil"/>
              <w:bottom w:val="nil"/>
              <w:right w:val="nil"/>
            </w:tcBorders>
            <w:shd w:val="clear" w:color="auto" w:fill="auto"/>
            <w:noWrap/>
            <w:vAlign w:val="bottom"/>
          </w:tcPr>
          <w:p w14:paraId="39541EDE" w14:textId="77777777" w:rsidR="00485F92" w:rsidRPr="00FB00CA" w:rsidRDefault="00485F92" w:rsidP="00485F92">
            <w:pPr>
              <w:jc w:val="center"/>
              <w:rPr>
                <w:rFonts w:ascii="Geneva" w:hAnsi="Geneva"/>
                <w:sz w:val="22"/>
                <w:lang w:bidi="x-none"/>
              </w:rPr>
            </w:pPr>
          </w:p>
        </w:tc>
        <w:tc>
          <w:tcPr>
            <w:tcW w:w="1487" w:type="dxa"/>
            <w:tcBorders>
              <w:top w:val="nil"/>
              <w:left w:val="nil"/>
              <w:bottom w:val="nil"/>
              <w:right w:val="nil"/>
            </w:tcBorders>
            <w:shd w:val="clear" w:color="auto" w:fill="auto"/>
            <w:noWrap/>
            <w:vAlign w:val="bottom"/>
          </w:tcPr>
          <w:p w14:paraId="6B310682" w14:textId="77777777" w:rsidR="00485F92" w:rsidRPr="00FB00CA" w:rsidRDefault="00485F92" w:rsidP="00485F92">
            <w:pPr>
              <w:jc w:val="center"/>
              <w:rPr>
                <w:rFonts w:ascii="Geneva" w:hAnsi="Geneva"/>
                <w:sz w:val="22"/>
                <w:lang w:bidi="x-none"/>
              </w:rPr>
            </w:pPr>
          </w:p>
        </w:tc>
        <w:tc>
          <w:tcPr>
            <w:tcW w:w="645" w:type="dxa"/>
            <w:tcBorders>
              <w:top w:val="nil"/>
              <w:left w:val="nil"/>
              <w:bottom w:val="nil"/>
              <w:right w:val="nil"/>
            </w:tcBorders>
            <w:shd w:val="clear" w:color="auto" w:fill="auto"/>
            <w:noWrap/>
            <w:vAlign w:val="bottom"/>
          </w:tcPr>
          <w:p w14:paraId="52D39D97" w14:textId="77777777" w:rsidR="00485F92" w:rsidRPr="00FB00CA" w:rsidRDefault="00485F92" w:rsidP="00485F92">
            <w:pPr>
              <w:jc w:val="center"/>
              <w:rPr>
                <w:rFonts w:ascii="Geneva" w:hAnsi="Geneva"/>
                <w:sz w:val="22"/>
                <w:lang w:bidi="x-none"/>
              </w:rPr>
            </w:pPr>
          </w:p>
        </w:tc>
        <w:tc>
          <w:tcPr>
            <w:tcW w:w="1490" w:type="dxa"/>
            <w:tcBorders>
              <w:top w:val="nil"/>
              <w:left w:val="nil"/>
              <w:bottom w:val="nil"/>
              <w:right w:val="nil"/>
            </w:tcBorders>
            <w:shd w:val="clear" w:color="auto" w:fill="auto"/>
            <w:noWrap/>
            <w:vAlign w:val="bottom"/>
          </w:tcPr>
          <w:p w14:paraId="1B518725" w14:textId="77777777" w:rsidR="00485F92" w:rsidRPr="00FB00CA" w:rsidRDefault="00485F92" w:rsidP="00485F92">
            <w:pPr>
              <w:jc w:val="center"/>
              <w:rPr>
                <w:rFonts w:ascii="Geneva" w:hAnsi="Geneva"/>
                <w:sz w:val="22"/>
                <w:lang w:bidi="x-none"/>
              </w:rPr>
            </w:pPr>
          </w:p>
        </w:tc>
      </w:tr>
      <w:tr w:rsidR="00485F92" w:rsidRPr="00FB00CA" w14:paraId="6CC7D033" w14:textId="77777777">
        <w:trPr>
          <w:trHeight w:val="260"/>
        </w:trPr>
        <w:tc>
          <w:tcPr>
            <w:tcW w:w="2180" w:type="dxa"/>
            <w:tcBorders>
              <w:top w:val="nil"/>
              <w:left w:val="nil"/>
              <w:bottom w:val="nil"/>
              <w:right w:val="nil"/>
            </w:tcBorders>
            <w:shd w:val="clear" w:color="auto" w:fill="auto"/>
            <w:noWrap/>
            <w:vAlign w:val="bottom"/>
          </w:tcPr>
          <w:p w14:paraId="0384649B" w14:textId="77777777" w:rsidR="00485F92" w:rsidRPr="00FB00CA" w:rsidRDefault="00485F92" w:rsidP="00485F92">
            <w:pPr>
              <w:jc w:val="right"/>
              <w:rPr>
                <w:rFonts w:ascii="Geneva" w:hAnsi="Geneva"/>
                <w:sz w:val="22"/>
                <w:lang w:bidi="x-none"/>
              </w:rPr>
            </w:pPr>
            <w:r w:rsidRPr="00FB00CA">
              <w:rPr>
                <w:rFonts w:ascii="Arial" w:hAnsi="Arial"/>
                <w:sz w:val="22"/>
                <w:lang w:bidi="x-none"/>
              </w:rPr>
              <w:t>2009</w:t>
            </w:r>
          </w:p>
        </w:tc>
        <w:tc>
          <w:tcPr>
            <w:tcW w:w="1487" w:type="dxa"/>
            <w:tcBorders>
              <w:top w:val="nil"/>
              <w:left w:val="nil"/>
              <w:bottom w:val="nil"/>
              <w:right w:val="nil"/>
            </w:tcBorders>
            <w:shd w:val="clear" w:color="auto" w:fill="auto"/>
            <w:noWrap/>
            <w:vAlign w:val="bottom"/>
          </w:tcPr>
          <w:p w14:paraId="09144768" w14:textId="77777777" w:rsidR="00485F92" w:rsidRPr="00FB00CA" w:rsidRDefault="00485F92" w:rsidP="00485F92">
            <w:pPr>
              <w:jc w:val="center"/>
              <w:rPr>
                <w:rFonts w:ascii="Geneva" w:hAnsi="Geneva"/>
                <w:sz w:val="22"/>
                <w:lang w:bidi="x-none"/>
              </w:rPr>
            </w:pPr>
            <w:r w:rsidRPr="00FB00CA">
              <w:rPr>
                <w:rFonts w:ascii="Arial" w:hAnsi="Arial"/>
                <w:sz w:val="22"/>
                <w:lang w:bidi="x-none"/>
              </w:rPr>
              <w:t>1.74</w:t>
            </w:r>
          </w:p>
        </w:tc>
        <w:tc>
          <w:tcPr>
            <w:tcW w:w="645" w:type="dxa"/>
            <w:tcBorders>
              <w:top w:val="nil"/>
              <w:left w:val="nil"/>
              <w:bottom w:val="nil"/>
              <w:right w:val="nil"/>
            </w:tcBorders>
            <w:shd w:val="clear" w:color="auto" w:fill="auto"/>
            <w:noWrap/>
            <w:vAlign w:val="bottom"/>
          </w:tcPr>
          <w:p w14:paraId="6A0423FD" w14:textId="77777777" w:rsidR="00485F92" w:rsidRPr="00FB00CA" w:rsidRDefault="00485F92" w:rsidP="00485F92">
            <w:pPr>
              <w:jc w:val="center"/>
              <w:rPr>
                <w:rFonts w:ascii="Geneva" w:hAnsi="Geneva"/>
                <w:sz w:val="22"/>
                <w:lang w:bidi="x-none"/>
              </w:rPr>
            </w:pPr>
            <w:r w:rsidRPr="00FB00CA">
              <w:rPr>
                <w:rFonts w:ascii="Arial" w:hAnsi="Arial"/>
                <w:sz w:val="22"/>
                <w:lang w:bidi="x-none"/>
              </w:rPr>
              <w:t>1.51</w:t>
            </w:r>
          </w:p>
        </w:tc>
        <w:tc>
          <w:tcPr>
            <w:tcW w:w="1490" w:type="dxa"/>
            <w:tcBorders>
              <w:top w:val="nil"/>
              <w:left w:val="nil"/>
              <w:bottom w:val="nil"/>
              <w:right w:val="nil"/>
            </w:tcBorders>
            <w:shd w:val="clear" w:color="auto" w:fill="auto"/>
            <w:noWrap/>
            <w:vAlign w:val="bottom"/>
          </w:tcPr>
          <w:p w14:paraId="3BE59E7E" w14:textId="77777777" w:rsidR="00485F92" w:rsidRPr="00FB00CA" w:rsidRDefault="00485F92" w:rsidP="00485F92">
            <w:pPr>
              <w:jc w:val="center"/>
              <w:rPr>
                <w:rFonts w:ascii="Geneva" w:hAnsi="Geneva"/>
                <w:sz w:val="22"/>
                <w:lang w:bidi="x-none"/>
              </w:rPr>
            </w:pPr>
            <w:r w:rsidRPr="00FB00CA">
              <w:rPr>
                <w:rFonts w:ascii="Arial" w:hAnsi="Arial"/>
                <w:sz w:val="22"/>
                <w:lang w:bidi="x-none"/>
              </w:rPr>
              <w:t>1.03</w:t>
            </w:r>
          </w:p>
        </w:tc>
        <w:tc>
          <w:tcPr>
            <w:tcW w:w="1487" w:type="dxa"/>
            <w:tcBorders>
              <w:top w:val="nil"/>
              <w:left w:val="nil"/>
              <w:bottom w:val="nil"/>
              <w:right w:val="nil"/>
            </w:tcBorders>
            <w:shd w:val="clear" w:color="auto" w:fill="auto"/>
            <w:noWrap/>
            <w:vAlign w:val="bottom"/>
          </w:tcPr>
          <w:p w14:paraId="72FE0BBB" w14:textId="77777777" w:rsidR="00485F92" w:rsidRPr="00FB00CA" w:rsidRDefault="00485F92" w:rsidP="00485F92">
            <w:pPr>
              <w:jc w:val="center"/>
              <w:rPr>
                <w:rFonts w:ascii="Geneva" w:hAnsi="Geneva"/>
                <w:sz w:val="22"/>
                <w:lang w:bidi="x-none"/>
              </w:rPr>
            </w:pPr>
            <w:r w:rsidRPr="00FB00CA">
              <w:rPr>
                <w:rFonts w:ascii="Arial" w:hAnsi="Arial"/>
                <w:sz w:val="22"/>
                <w:lang w:bidi="x-none"/>
              </w:rPr>
              <w:t>0.45</w:t>
            </w:r>
          </w:p>
        </w:tc>
        <w:tc>
          <w:tcPr>
            <w:tcW w:w="645" w:type="dxa"/>
            <w:tcBorders>
              <w:top w:val="nil"/>
              <w:left w:val="nil"/>
              <w:bottom w:val="nil"/>
              <w:right w:val="nil"/>
            </w:tcBorders>
            <w:shd w:val="clear" w:color="auto" w:fill="auto"/>
            <w:noWrap/>
            <w:vAlign w:val="bottom"/>
          </w:tcPr>
          <w:p w14:paraId="1714FB79" w14:textId="77777777" w:rsidR="00485F92" w:rsidRPr="00FB00CA" w:rsidRDefault="00485F92" w:rsidP="00485F92">
            <w:pPr>
              <w:jc w:val="center"/>
              <w:rPr>
                <w:rFonts w:ascii="Geneva" w:hAnsi="Geneva"/>
                <w:sz w:val="22"/>
                <w:lang w:bidi="x-none"/>
              </w:rPr>
            </w:pPr>
            <w:r w:rsidRPr="00FB00CA">
              <w:rPr>
                <w:rFonts w:ascii="Arial" w:hAnsi="Arial"/>
                <w:sz w:val="22"/>
                <w:lang w:bidi="x-none"/>
              </w:rPr>
              <w:t>0.41</w:t>
            </w:r>
          </w:p>
        </w:tc>
        <w:tc>
          <w:tcPr>
            <w:tcW w:w="1490" w:type="dxa"/>
            <w:tcBorders>
              <w:top w:val="nil"/>
              <w:left w:val="nil"/>
              <w:bottom w:val="nil"/>
              <w:right w:val="nil"/>
            </w:tcBorders>
            <w:shd w:val="clear" w:color="auto" w:fill="auto"/>
            <w:noWrap/>
            <w:vAlign w:val="bottom"/>
          </w:tcPr>
          <w:p w14:paraId="1B001239" w14:textId="77777777" w:rsidR="00485F92" w:rsidRPr="00FB00CA" w:rsidRDefault="00485F92" w:rsidP="00485F92">
            <w:pPr>
              <w:jc w:val="center"/>
              <w:rPr>
                <w:rFonts w:ascii="Geneva" w:hAnsi="Geneva"/>
                <w:sz w:val="22"/>
                <w:lang w:bidi="x-none"/>
              </w:rPr>
            </w:pPr>
            <w:r w:rsidRPr="00FB00CA">
              <w:rPr>
                <w:rFonts w:ascii="Arial" w:hAnsi="Arial"/>
                <w:sz w:val="22"/>
                <w:lang w:bidi="x-none"/>
              </w:rPr>
              <w:t>0.35</w:t>
            </w:r>
          </w:p>
        </w:tc>
      </w:tr>
      <w:tr w:rsidR="00485F92" w:rsidRPr="00FB00CA" w14:paraId="5BD71E81" w14:textId="77777777">
        <w:trPr>
          <w:trHeight w:val="260"/>
        </w:trPr>
        <w:tc>
          <w:tcPr>
            <w:tcW w:w="2180" w:type="dxa"/>
            <w:tcBorders>
              <w:top w:val="nil"/>
              <w:left w:val="nil"/>
              <w:bottom w:val="nil"/>
              <w:right w:val="nil"/>
            </w:tcBorders>
            <w:shd w:val="clear" w:color="auto" w:fill="auto"/>
            <w:noWrap/>
            <w:vAlign w:val="bottom"/>
          </w:tcPr>
          <w:p w14:paraId="488B16E8" w14:textId="77777777" w:rsidR="00485F92" w:rsidRPr="00FB00CA" w:rsidRDefault="00485F92" w:rsidP="00485F92">
            <w:pPr>
              <w:jc w:val="right"/>
              <w:rPr>
                <w:rFonts w:ascii="Geneva" w:hAnsi="Geneva"/>
                <w:sz w:val="22"/>
                <w:lang w:bidi="x-none"/>
              </w:rPr>
            </w:pPr>
            <w:r w:rsidRPr="00FB00CA">
              <w:rPr>
                <w:rFonts w:ascii="Arial" w:hAnsi="Arial"/>
                <w:sz w:val="22"/>
                <w:lang w:bidi="x-none"/>
              </w:rPr>
              <w:t>2010</w:t>
            </w:r>
          </w:p>
        </w:tc>
        <w:tc>
          <w:tcPr>
            <w:tcW w:w="1487" w:type="dxa"/>
            <w:tcBorders>
              <w:top w:val="nil"/>
              <w:left w:val="nil"/>
              <w:bottom w:val="nil"/>
              <w:right w:val="nil"/>
            </w:tcBorders>
            <w:shd w:val="clear" w:color="auto" w:fill="auto"/>
            <w:noWrap/>
            <w:vAlign w:val="bottom"/>
          </w:tcPr>
          <w:p w14:paraId="1AFAAF28" w14:textId="77777777" w:rsidR="00485F92" w:rsidRPr="00FB00CA" w:rsidRDefault="00485F92" w:rsidP="00485F92">
            <w:pPr>
              <w:jc w:val="center"/>
              <w:rPr>
                <w:rFonts w:ascii="Geneva" w:hAnsi="Geneva"/>
                <w:sz w:val="22"/>
                <w:lang w:bidi="x-none"/>
              </w:rPr>
            </w:pPr>
            <w:r w:rsidRPr="00FB00CA">
              <w:rPr>
                <w:rFonts w:ascii="Arial" w:hAnsi="Arial"/>
                <w:sz w:val="22"/>
                <w:lang w:bidi="x-none"/>
              </w:rPr>
              <w:t>2.07</w:t>
            </w:r>
          </w:p>
        </w:tc>
        <w:tc>
          <w:tcPr>
            <w:tcW w:w="645" w:type="dxa"/>
            <w:tcBorders>
              <w:top w:val="nil"/>
              <w:left w:val="nil"/>
              <w:bottom w:val="nil"/>
              <w:right w:val="nil"/>
            </w:tcBorders>
            <w:shd w:val="clear" w:color="auto" w:fill="auto"/>
            <w:noWrap/>
            <w:vAlign w:val="bottom"/>
          </w:tcPr>
          <w:p w14:paraId="1E1E4216" w14:textId="77777777" w:rsidR="00485F92" w:rsidRPr="00FB00CA" w:rsidRDefault="00485F92" w:rsidP="00485F92">
            <w:pPr>
              <w:jc w:val="center"/>
              <w:rPr>
                <w:rFonts w:ascii="Geneva" w:hAnsi="Geneva"/>
                <w:sz w:val="22"/>
                <w:lang w:bidi="x-none"/>
              </w:rPr>
            </w:pPr>
            <w:r w:rsidRPr="00FB00CA">
              <w:rPr>
                <w:rFonts w:ascii="Arial" w:hAnsi="Arial"/>
                <w:sz w:val="22"/>
                <w:lang w:bidi="x-none"/>
              </w:rPr>
              <w:t>1.96</w:t>
            </w:r>
          </w:p>
        </w:tc>
        <w:tc>
          <w:tcPr>
            <w:tcW w:w="1490" w:type="dxa"/>
            <w:tcBorders>
              <w:top w:val="nil"/>
              <w:left w:val="nil"/>
              <w:bottom w:val="nil"/>
              <w:right w:val="nil"/>
            </w:tcBorders>
            <w:shd w:val="clear" w:color="auto" w:fill="auto"/>
            <w:noWrap/>
            <w:vAlign w:val="bottom"/>
          </w:tcPr>
          <w:p w14:paraId="09DA1472" w14:textId="77777777" w:rsidR="00485F92" w:rsidRPr="00FB00CA" w:rsidRDefault="00485F92" w:rsidP="00485F92">
            <w:pPr>
              <w:jc w:val="center"/>
              <w:rPr>
                <w:rFonts w:ascii="Geneva" w:hAnsi="Geneva"/>
                <w:sz w:val="22"/>
                <w:lang w:bidi="x-none"/>
              </w:rPr>
            </w:pPr>
            <w:r w:rsidRPr="00FB00CA">
              <w:rPr>
                <w:rFonts w:ascii="Arial" w:hAnsi="Arial"/>
                <w:sz w:val="22"/>
                <w:lang w:bidi="x-none"/>
              </w:rPr>
              <w:t>1.46</w:t>
            </w:r>
          </w:p>
        </w:tc>
        <w:tc>
          <w:tcPr>
            <w:tcW w:w="1487" w:type="dxa"/>
            <w:tcBorders>
              <w:top w:val="nil"/>
              <w:left w:val="nil"/>
              <w:bottom w:val="nil"/>
              <w:right w:val="nil"/>
            </w:tcBorders>
            <w:shd w:val="clear" w:color="auto" w:fill="auto"/>
            <w:noWrap/>
            <w:vAlign w:val="bottom"/>
          </w:tcPr>
          <w:p w14:paraId="0E4F13B6" w14:textId="77777777" w:rsidR="00485F92" w:rsidRPr="00FB00CA" w:rsidRDefault="00485F92" w:rsidP="00485F92">
            <w:pPr>
              <w:jc w:val="center"/>
              <w:rPr>
                <w:rFonts w:ascii="Geneva" w:hAnsi="Geneva"/>
                <w:sz w:val="22"/>
                <w:lang w:bidi="x-none"/>
              </w:rPr>
            </w:pPr>
            <w:r w:rsidRPr="00FB00CA">
              <w:rPr>
                <w:rFonts w:ascii="Arial" w:hAnsi="Arial"/>
                <w:sz w:val="22"/>
                <w:lang w:bidi="x-none"/>
              </w:rPr>
              <w:t>1.74</w:t>
            </w:r>
          </w:p>
        </w:tc>
        <w:tc>
          <w:tcPr>
            <w:tcW w:w="645" w:type="dxa"/>
            <w:tcBorders>
              <w:top w:val="nil"/>
              <w:left w:val="nil"/>
              <w:bottom w:val="nil"/>
              <w:right w:val="nil"/>
            </w:tcBorders>
            <w:shd w:val="clear" w:color="auto" w:fill="auto"/>
            <w:noWrap/>
            <w:vAlign w:val="bottom"/>
          </w:tcPr>
          <w:p w14:paraId="0AB3ECBC" w14:textId="77777777" w:rsidR="00485F92" w:rsidRPr="00FB00CA" w:rsidRDefault="00485F92" w:rsidP="00485F92">
            <w:pPr>
              <w:jc w:val="center"/>
              <w:rPr>
                <w:rFonts w:ascii="Geneva" w:hAnsi="Geneva"/>
                <w:sz w:val="22"/>
                <w:lang w:bidi="x-none"/>
              </w:rPr>
            </w:pPr>
            <w:r w:rsidRPr="00FB00CA">
              <w:rPr>
                <w:rFonts w:ascii="Arial" w:hAnsi="Arial"/>
                <w:sz w:val="22"/>
                <w:lang w:bidi="x-none"/>
              </w:rPr>
              <w:t>1.10</w:t>
            </w:r>
          </w:p>
        </w:tc>
        <w:tc>
          <w:tcPr>
            <w:tcW w:w="1490" w:type="dxa"/>
            <w:tcBorders>
              <w:top w:val="nil"/>
              <w:left w:val="nil"/>
              <w:bottom w:val="nil"/>
              <w:right w:val="nil"/>
            </w:tcBorders>
            <w:shd w:val="clear" w:color="auto" w:fill="auto"/>
            <w:noWrap/>
            <w:vAlign w:val="bottom"/>
          </w:tcPr>
          <w:p w14:paraId="338DA3F1" w14:textId="77777777" w:rsidR="00485F92" w:rsidRPr="00FB00CA" w:rsidRDefault="00485F92" w:rsidP="00485F92">
            <w:pPr>
              <w:jc w:val="center"/>
              <w:rPr>
                <w:rFonts w:ascii="Geneva" w:hAnsi="Geneva"/>
                <w:sz w:val="22"/>
                <w:lang w:bidi="x-none"/>
              </w:rPr>
            </w:pPr>
            <w:r w:rsidRPr="00FB00CA">
              <w:rPr>
                <w:rFonts w:ascii="Arial" w:hAnsi="Arial"/>
                <w:sz w:val="22"/>
                <w:lang w:bidi="x-none"/>
              </w:rPr>
              <w:t>1.95</w:t>
            </w:r>
          </w:p>
        </w:tc>
      </w:tr>
      <w:tr w:rsidR="00485F92" w:rsidRPr="00FB00CA" w14:paraId="52A55461" w14:textId="77777777">
        <w:trPr>
          <w:trHeight w:val="260"/>
        </w:trPr>
        <w:tc>
          <w:tcPr>
            <w:tcW w:w="2180" w:type="dxa"/>
            <w:tcBorders>
              <w:top w:val="nil"/>
              <w:left w:val="nil"/>
              <w:bottom w:val="nil"/>
              <w:right w:val="nil"/>
            </w:tcBorders>
            <w:shd w:val="clear" w:color="auto" w:fill="auto"/>
            <w:noWrap/>
            <w:vAlign w:val="bottom"/>
          </w:tcPr>
          <w:p w14:paraId="66BA1F6A" w14:textId="77777777" w:rsidR="00485F92" w:rsidRPr="00FB00CA" w:rsidRDefault="00485F92" w:rsidP="00485F92">
            <w:pPr>
              <w:jc w:val="right"/>
              <w:rPr>
                <w:rFonts w:ascii="Geneva" w:hAnsi="Geneva"/>
                <w:sz w:val="22"/>
                <w:lang w:bidi="x-none"/>
              </w:rPr>
            </w:pPr>
            <w:r w:rsidRPr="00FB00CA">
              <w:rPr>
                <w:rFonts w:ascii="Arial" w:hAnsi="Arial"/>
                <w:sz w:val="22"/>
                <w:lang w:bidi="x-none"/>
              </w:rPr>
              <w:t>2011</w:t>
            </w:r>
          </w:p>
        </w:tc>
        <w:tc>
          <w:tcPr>
            <w:tcW w:w="1487" w:type="dxa"/>
            <w:tcBorders>
              <w:top w:val="nil"/>
              <w:left w:val="nil"/>
              <w:bottom w:val="nil"/>
              <w:right w:val="nil"/>
            </w:tcBorders>
            <w:shd w:val="clear" w:color="auto" w:fill="auto"/>
            <w:noWrap/>
            <w:vAlign w:val="bottom"/>
          </w:tcPr>
          <w:p w14:paraId="0D541C93" w14:textId="77777777" w:rsidR="00485F92" w:rsidRPr="00FB00CA" w:rsidRDefault="00485F92" w:rsidP="00485F92">
            <w:pPr>
              <w:jc w:val="center"/>
              <w:rPr>
                <w:rFonts w:ascii="Geneva" w:hAnsi="Geneva"/>
                <w:sz w:val="22"/>
                <w:lang w:bidi="x-none"/>
              </w:rPr>
            </w:pPr>
            <w:r w:rsidRPr="00FB00CA">
              <w:rPr>
                <w:rFonts w:ascii="Arial" w:hAnsi="Arial"/>
                <w:sz w:val="22"/>
                <w:lang w:bidi="x-none"/>
              </w:rPr>
              <w:t>1.78</w:t>
            </w:r>
          </w:p>
        </w:tc>
        <w:tc>
          <w:tcPr>
            <w:tcW w:w="645" w:type="dxa"/>
            <w:tcBorders>
              <w:top w:val="nil"/>
              <w:left w:val="nil"/>
              <w:bottom w:val="nil"/>
              <w:right w:val="nil"/>
            </w:tcBorders>
            <w:shd w:val="clear" w:color="auto" w:fill="auto"/>
            <w:noWrap/>
            <w:vAlign w:val="bottom"/>
          </w:tcPr>
          <w:p w14:paraId="6ED8D890" w14:textId="77777777" w:rsidR="00485F92" w:rsidRPr="00FB00CA" w:rsidRDefault="00485F92" w:rsidP="00485F92">
            <w:pPr>
              <w:jc w:val="center"/>
              <w:rPr>
                <w:rFonts w:ascii="Geneva" w:hAnsi="Geneva"/>
                <w:sz w:val="22"/>
                <w:lang w:bidi="x-none"/>
              </w:rPr>
            </w:pPr>
            <w:r w:rsidRPr="00FB00CA">
              <w:rPr>
                <w:rFonts w:ascii="Arial" w:hAnsi="Arial"/>
                <w:sz w:val="22"/>
                <w:lang w:bidi="x-none"/>
              </w:rPr>
              <w:t>2.14</w:t>
            </w:r>
          </w:p>
        </w:tc>
        <w:tc>
          <w:tcPr>
            <w:tcW w:w="1490" w:type="dxa"/>
            <w:tcBorders>
              <w:top w:val="nil"/>
              <w:left w:val="nil"/>
              <w:bottom w:val="nil"/>
              <w:right w:val="nil"/>
            </w:tcBorders>
            <w:shd w:val="clear" w:color="auto" w:fill="auto"/>
            <w:noWrap/>
            <w:vAlign w:val="bottom"/>
          </w:tcPr>
          <w:p w14:paraId="0FF9101D" w14:textId="77777777" w:rsidR="00485F92" w:rsidRPr="00FB00CA" w:rsidRDefault="00485F92" w:rsidP="00485F92">
            <w:pPr>
              <w:jc w:val="center"/>
              <w:rPr>
                <w:rFonts w:ascii="Geneva" w:hAnsi="Geneva"/>
                <w:sz w:val="22"/>
                <w:lang w:bidi="x-none"/>
              </w:rPr>
            </w:pPr>
            <w:r w:rsidRPr="00FB00CA">
              <w:rPr>
                <w:rFonts w:ascii="Arial" w:hAnsi="Arial"/>
                <w:sz w:val="22"/>
                <w:lang w:bidi="x-none"/>
              </w:rPr>
              <w:t>0.77</w:t>
            </w:r>
          </w:p>
        </w:tc>
        <w:tc>
          <w:tcPr>
            <w:tcW w:w="1487" w:type="dxa"/>
            <w:tcBorders>
              <w:top w:val="nil"/>
              <w:left w:val="nil"/>
              <w:bottom w:val="nil"/>
              <w:right w:val="nil"/>
            </w:tcBorders>
            <w:shd w:val="clear" w:color="auto" w:fill="auto"/>
            <w:noWrap/>
            <w:vAlign w:val="bottom"/>
          </w:tcPr>
          <w:p w14:paraId="60EBEF7E" w14:textId="77777777" w:rsidR="00485F92" w:rsidRPr="00FB00CA" w:rsidRDefault="00485F92" w:rsidP="00485F92">
            <w:pPr>
              <w:jc w:val="center"/>
              <w:rPr>
                <w:rFonts w:ascii="Geneva" w:hAnsi="Geneva"/>
                <w:sz w:val="22"/>
                <w:lang w:bidi="x-none"/>
              </w:rPr>
            </w:pPr>
            <w:r w:rsidRPr="00FB00CA">
              <w:rPr>
                <w:rFonts w:ascii="Arial" w:hAnsi="Arial"/>
                <w:sz w:val="22"/>
                <w:lang w:bidi="x-none"/>
              </w:rPr>
              <w:t>1.04</w:t>
            </w:r>
          </w:p>
        </w:tc>
        <w:tc>
          <w:tcPr>
            <w:tcW w:w="645" w:type="dxa"/>
            <w:tcBorders>
              <w:top w:val="nil"/>
              <w:left w:val="nil"/>
              <w:bottom w:val="nil"/>
              <w:right w:val="nil"/>
            </w:tcBorders>
            <w:shd w:val="clear" w:color="auto" w:fill="auto"/>
            <w:noWrap/>
            <w:vAlign w:val="bottom"/>
          </w:tcPr>
          <w:p w14:paraId="564F8F23" w14:textId="77777777" w:rsidR="00485F92" w:rsidRPr="00FB00CA" w:rsidRDefault="00485F92" w:rsidP="00485F92">
            <w:pPr>
              <w:jc w:val="center"/>
              <w:rPr>
                <w:rFonts w:ascii="Geneva" w:hAnsi="Geneva"/>
                <w:sz w:val="22"/>
                <w:lang w:bidi="x-none"/>
              </w:rPr>
            </w:pPr>
            <w:r w:rsidRPr="00FB00CA">
              <w:rPr>
                <w:rFonts w:ascii="Arial" w:hAnsi="Arial"/>
                <w:sz w:val="22"/>
                <w:lang w:bidi="x-none"/>
              </w:rPr>
              <w:t>0.81</w:t>
            </w:r>
          </w:p>
        </w:tc>
        <w:tc>
          <w:tcPr>
            <w:tcW w:w="1490" w:type="dxa"/>
            <w:tcBorders>
              <w:top w:val="nil"/>
              <w:left w:val="nil"/>
              <w:bottom w:val="nil"/>
              <w:right w:val="nil"/>
            </w:tcBorders>
            <w:shd w:val="clear" w:color="auto" w:fill="auto"/>
            <w:noWrap/>
            <w:vAlign w:val="bottom"/>
          </w:tcPr>
          <w:p w14:paraId="45330DCD" w14:textId="77777777" w:rsidR="00485F92" w:rsidRPr="00FB00CA" w:rsidRDefault="00485F92" w:rsidP="00485F92">
            <w:pPr>
              <w:jc w:val="center"/>
              <w:rPr>
                <w:rFonts w:ascii="Geneva" w:hAnsi="Geneva"/>
                <w:sz w:val="22"/>
                <w:lang w:bidi="x-none"/>
              </w:rPr>
            </w:pPr>
            <w:r w:rsidRPr="00FB00CA">
              <w:rPr>
                <w:rFonts w:ascii="Arial" w:hAnsi="Arial"/>
                <w:sz w:val="22"/>
                <w:lang w:bidi="x-none"/>
              </w:rPr>
              <w:t>0.63</w:t>
            </w:r>
          </w:p>
        </w:tc>
      </w:tr>
      <w:tr w:rsidR="00485F92" w:rsidRPr="00FB00CA" w14:paraId="4248FF04" w14:textId="77777777">
        <w:trPr>
          <w:trHeight w:val="320"/>
        </w:trPr>
        <w:tc>
          <w:tcPr>
            <w:tcW w:w="2180" w:type="dxa"/>
            <w:tcBorders>
              <w:top w:val="nil"/>
              <w:left w:val="nil"/>
              <w:bottom w:val="dotted" w:sz="6" w:space="0" w:color="auto"/>
              <w:right w:val="nil"/>
            </w:tcBorders>
            <w:shd w:val="clear" w:color="auto" w:fill="auto"/>
            <w:noWrap/>
            <w:vAlign w:val="bottom"/>
          </w:tcPr>
          <w:p w14:paraId="2BA2DE16" w14:textId="77777777" w:rsidR="00485F92" w:rsidRPr="00FB00CA" w:rsidRDefault="00485F92" w:rsidP="00485F92">
            <w:pPr>
              <w:rPr>
                <w:rFonts w:ascii="Geneva" w:hAnsi="Geneva"/>
                <w:b/>
                <w:sz w:val="22"/>
                <w:lang w:bidi="x-none"/>
              </w:rPr>
            </w:pPr>
          </w:p>
        </w:tc>
        <w:tc>
          <w:tcPr>
            <w:tcW w:w="1487" w:type="dxa"/>
            <w:tcBorders>
              <w:top w:val="nil"/>
              <w:left w:val="nil"/>
              <w:bottom w:val="dotted" w:sz="6" w:space="0" w:color="auto"/>
              <w:right w:val="nil"/>
            </w:tcBorders>
            <w:shd w:val="clear" w:color="auto" w:fill="auto"/>
            <w:noWrap/>
            <w:vAlign w:val="bottom"/>
          </w:tcPr>
          <w:p w14:paraId="222ECB75" w14:textId="77777777" w:rsidR="00485F92" w:rsidRPr="00FB00CA" w:rsidRDefault="00485F92" w:rsidP="00485F92">
            <w:pPr>
              <w:jc w:val="center"/>
              <w:rPr>
                <w:rFonts w:ascii="Geneva" w:hAnsi="Geneva"/>
                <w:sz w:val="22"/>
                <w:lang w:bidi="x-none"/>
              </w:rPr>
            </w:pPr>
          </w:p>
        </w:tc>
        <w:tc>
          <w:tcPr>
            <w:tcW w:w="645" w:type="dxa"/>
            <w:tcBorders>
              <w:top w:val="nil"/>
              <w:left w:val="nil"/>
              <w:bottom w:val="dotted" w:sz="6" w:space="0" w:color="auto"/>
              <w:right w:val="nil"/>
            </w:tcBorders>
            <w:shd w:val="clear" w:color="auto" w:fill="auto"/>
            <w:noWrap/>
            <w:vAlign w:val="bottom"/>
          </w:tcPr>
          <w:p w14:paraId="78401CB2" w14:textId="77777777" w:rsidR="00485F92" w:rsidRPr="00FB00CA" w:rsidRDefault="00485F92" w:rsidP="00485F92">
            <w:pPr>
              <w:jc w:val="center"/>
              <w:rPr>
                <w:rFonts w:ascii="Geneva" w:hAnsi="Geneva"/>
                <w:sz w:val="22"/>
                <w:lang w:bidi="x-none"/>
              </w:rPr>
            </w:pPr>
          </w:p>
        </w:tc>
        <w:tc>
          <w:tcPr>
            <w:tcW w:w="1490" w:type="dxa"/>
            <w:tcBorders>
              <w:top w:val="nil"/>
              <w:left w:val="nil"/>
              <w:bottom w:val="dotted" w:sz="6" w:space="0" w:color="auto"/>
              <w:right w:val="nil"/>
            </w:tcBorders>
            <w:shd w:val="clear" w:color="auto" w:fill="auto"/>
            <w:noWrap/>
            <w:vAlign w:val="bottom"/>
          </w:tcPr>
          <w:p w14:paraId="4E99C6A9" w14:textId="77777777" w:rsidR="00485F92" w:rsidRPr="00FB00CA" w:rsidRDefault="00485F92" w:rsidP="00485F92">
            <w:pPr>
              <w:rPr>
                <w:rFonts w:ascii="Geneva" w:hAnsi="Geneva"/>
                <w:sz w:val="22"/>
                <w:lang w:bidi="x-none"/>
              </w:rPr>
            </w:pPr>
          </w:p>
        </w:tc>
        <w:tc>
          <w:tcPr>
            <w:tcW w:w="1487" w:type="dxa"/>
            <w:tcBorders>
              <w:top w:val="nil"/>
              <w:left w:val="nil"/>
              <w:bottom w:val="dotted" w:sz="6" w:space="0" w:color="auto"/>
              <w:right w:val="nil"/>
            </w:tcBorders>
            <w:shd w:val="clear" w:color="auto" w:fill="auto"/>
            <w:noWrap/>
            <w:vAlign w:val="bottom"/>
          </w:tcPr>
          <w:p w14:paraId="7C670DBE" w14:textId="77777777" w:rsidR="00485F92" w:rsidRPr="00FB00CA" w:rsidRDefault="00485F92" w:rsidP="00485F92">
            <w:pPr>
              <w:jc w:val="center"/>
              <w:rPr>
                <w:rFonts w:ascii="Geneva" w:hAnsi="Geneva"/>
                <w:sz w:val="22"/>
                <w:lang w:bidi="x-none"/>
              </w:rPr>
            </w:pPr>
          </w:p>
        </w:tc>
        <w:tc>
          <w:tcPr>
            <w:tcW w:w="645" w:type="dxa"/>
            <w:tcBorders>
              <w:top w:val="nil"/>
              <w:left w:val="nil"/>
              <w:bottom w:val="dotted" w:sz="6" w:space="0" w:color="auto"/>
              <w:right w:val="nil"/>
            </w:tcBorders>
            <w:shd w:val="clear" w:color="auto" w:fill="auto"/>
            <w:noWrap/>
            <w:vAlign w:val="bottom"/>
          </w:tcPr>
          <w:p w14:paraId="188735C0" w14:textId="77777777" w:rsidR="00485F92" w:rsidRPr="00FB00CA" w:rsidRDefault="00485F92" w:rsidP="00485F92">
            <w:pPr>
              <w:jc w:val="center"/>
              <w:rPr>
                <w:rFonts w:ascii="Geneva" w:hAnsi="Geneva"/>
                <w:sz w:val="22"/>
                <w:lang w:bidi="x-none"/>
              </w:rPr>
            </w:pPr>
          </w:p>
        </w:tc>
        <w:tc>
          <w:tcPr>
            <w:tcW w:w="1490" w:type="dxa"/>
            <w:tcBorders>
              <w:top w:val="nil"/>
              <w:left w:val="nil"/>
              <w:bottom w:val="dotted" w:sz="6" w:space="0" w:color="auto"/>
              <w:right w:val="nil"/>
            </w:tcBorders>
            <w:shd w:val="clear" w:color="auto" w:fill="auto"/>
            <w:noWrap/>
            <w:vAlign w:val="bottom"/>
          </w:tcPr>
          <w:p w14:paraId="1625C6D1" w14:textId="77777777" w:rsidR="00485F92" w:rsidRPr="00FB00CA" w:rsidRDefault="00485F92" w:rsidP="00485F92">
            <w:pPr>
              <w:jc w:val="center"/>
              <w:rPr>
                <w:rFonts w:ascii="Geneva" w:hAnsi="Geneva"/>
                <w:sz w:val="22"/>
                <w:lang w:bidi="x-none"/>
              </w:rPr>
            </w:pPr>
          </w:p>
        </w:tc>
      </w:tr>
      <w:tr w:rsidR="00485F92" w:rsidRPr="00FB00CA" w14:paraId="6393DCFB" w14:textId="77777777">
        <w:trPr>
          <w:trHeight w:val="260"/>
        </w:trPr>
        <w:tc>
          <w:tcPr>
            <w:tcW w:w="2180" w:type="dxa"/>
            <w:tcBorders>
              <w:top w:val="dotted" w:sz="6" w:space="0" w:color="auto"/>
              <w:left w:val="nil"/>
              <w:bottom w:val="nil"/>
              <w:right w:val="nil"/>
            </w:tcBorders>
            <w:shd w:val="clear" w:color="auto" w:fill="auto"/>
            <w:noWrap/>
            <w:vAlign w:val="bottom"/>
          </w:tcPr>
          <w:p w14:paraId="056C140C" w14:textId="77777777" w:rsidR="00485F92" w:rsidRPr="00FB00CA" w:rsidRDefault="00485F92" w:rsidP="00485F92">
            <w:pPr>
              <w:spacing w:before="60"/>
              <w:rPr>
                <w:rFonts w:ascii="Geneva" w:hAnsi="Geneva"/>
                <w:sz w:val="22"/>
                <w:lang w:bidi="x-none"/>
              </w:rPr>
            </w:pPr>
            <w:r w:rsidRPr="00FB00CA">
              <w:rPr>
                <w:rFonts w:ascii="Arial" w:hAnsi="Arial"/>
                <w:b/>
                <w:sz w:val="22"/>
                <w:lang w:bidi="x-none"/>
              </w:rPr>
              <w:t>Amphipods</w:t>
            </w:r>
          </w:p>
        </w:tc>
        <w:tc>
          <w:tcPr>
            <w:tcW w:w="3622" w:type="dxa"/>
            <w:gridSpan w:val="3"/>
            <w:tcBorders>
              <w:top w:val="dotted" w:sz="6" w:space="0" w:color="auto"/>
              <w:left w:val="nil"/>
              <w:bottom w:val="nil"/>
              <w:right w:val="nil"/>
            </w:tcBorders>
            <w:shd w:val="clear" w:color="auto" w:fill="auto"/>
            <w:noWrap/>
            <w:vAlign w:val="bottom"/>
          </w:tcPr>
          <w:p w14:paraId="1E49D0CD" w14:textId="77777777" w:rsidR="00485F92" w:rsidRPr="00FB00CA" w:rsidRDefault="00485F92" w:rsidP="00485F92">
            <w:pPr>
              <w:spacing w:before="60"/>
              <w:jc w:val="center"/>
              <w:rPr>
                <w:rFonts w:ascii="Geneva" w:hAnsi="Geneva"/>
                <w:b/>
                <w:sz w:val="22"/>
                <w:lang w:bidi="x-none"/>
              </w:rPr>
            </w:pPr>
            <w:r w:rsidRPr="00FB00CA">
              <w:rPr>
                <w:rFonts w:ascii="Arial" w:hAnsi="Arial"/>
                <w:b/>
                <w:sz w:val="22"/>
                <w:lang w:bidi="x-none"/>
              </w:rPr>
              <w:t>Headquarters Pool</w:t>
            </w:r>
          </w:p>
        </w:tc>
        <w:tc>
          <w:tcPr>
            <w:tcW w:w="3622" w:type="dxa"/>
            <w:gridSpan w:val="3"/>
            <w:tcBorders>
              <w:top w:val="dotted" w:sz="6" w:space="0" w:color="auto"/>
              <w:left w:val="nil"/>
              <w:bottom w:val="nil"/>
              <w:right w:val="nil"/>
            </w:tcBorders>
            <w:shd w:val="clear" w:color="auto" w:fill="auto"/>
            <w:noWrap/>
            <w:vAlign w:val="bottom"/>
          </w:tcPr>
          <w:p w14:paraId="10DC040B" w14:textId="77777777" w:rsidR="00485F92" w:rsidRPr="00FB00CA" w:rsidRDefault="00485F92" w:rsidP="00485F92">
            <w:pPr>
              <w:spacing w:before="60"/>
              <w:jc w:val="center"/>
              <w:rPr>
                <w:rFonts w:ascii="Geneva" w:hAnsi="Geneva"/>
                <w:b/>
                <w:sz w:val="22"/>
                <w:lang w:bidi="x-none"/>
              </w:rPr>
            </w:pPr>
            <w:r w:rsidRPr="00FB00CA">
              <w:rPr>
                <w:rFonts w:ascii="Arial" w:hAnsi="Arial"/>
                <w:b/>
                <w:sz w:val="22"/>
                <w:lang w:bidi="x-none"/>
              </w:rPr>
              <w:t>Agassiz Pool</w:t>
            </w:r>
          </w:p>
        </w:tc>
      </w:tr>
      <w:tr w:rsidR="00485F92" w:rsidRPr="00FB00CA" w14:paraId="16790D3F" w14:textId="77777777">
        <w:trPr>
          <w:trHeight w:val="260"/>
        </w:trPr>
        <w:tc>
          <w:tcPr>
            <w:tcW w:w="2180" w:type="dxa"/>
            <w:tcBorders>
              <w:top w:val="nil"/>
              <w:left w:val="nil"/>
              <w:bottom w:val="nil"/>
              <w:right w:val="nil"/>
            </w:tcBorders>
            <w:shd w:val="clear" w:color="auto" w:fill="auto"/>
            <w:noWrap/>
            <w:vAlign w:val="bottom"/>
          </w:tcPr>
          <w:p w14:paraId="3A9171DC" w14:textId="77777777" w:rsidR="00485F92" w:rsidRPr="00FB00CA" w:rsidRDefault="00485F92" w:rsidP="00485F92">
            <w:pPr>
              <w:rPr>
                <w:rFonts w:ascii="Geneva" w:hAnsi="Geneva"/>
                <w:sz w:val="22"/>
                <w:lang w:bidi="x-none"/>
              </w:rPr>
            </w:pPr>
            <w:r w:rsidRPr="00FB00CA">
              <w:rPr>
                <w:rFonts w:ascii="Arial" w:hAnsi="Arial"/>
                <w:sz w:val="22"/>
                <w:lang w:bidi="x-none"/>
              </w:rPr>
              <w:t>Hg</w:t>
            </w:r>
            <w:r w:rsidRPr="00D37ECE">
              <w:rPr>
                <w:rFonts w:ascii="Arial" w:hAnsi="Arial"/>
                <w:sz w:val="22"/>
                <w:vertAlign w:val="subscript"/>
                <w:lang w:bidi="x-none"/>
              </w:rPr>
              <w:t>T</w:t>
            </w:r>
            <w:r w:rsidRPr="00FB00CA">
              <w:rPr>
                <w:rFonts w:ascii="Arial" w:hAnsi="Arial"/>
                <w:sz w:val="22"/>
                <w:lang w:bidi="x-none"/>
              </w:rPr>
              <w:t xml:space="preserve"> (ng/g)</w:t>
            </w:r>
          </w:p>
        </w:tc>
        <w:tc>
          <w:tcPr>
            <w:tcW w:w="1487" w:type="dxa"/>
            <w:tcBorders>
              <w:top w:val="nil"/>
              <w:left w:val="nil"/>
              <w:bottom w:val="nil"/>
              <w:right w:val="nil"/>
            </w:tcBorders>
            <w:shd w:val="clear" w:color="auto" w:fill="auto"/>
            <w:noWrap/>
            <w:vAlign w:val="bottom"/>
          </w:tcPr>
          <w:p w14:paraId="78C9D53E" w14:textId="77777777" w:rsidR="00485F92" w:rsidRPr="00FB00CA" w:rsidRDefault="00485F92" w:rsidP="00485F92">
            <w:pPr>
              <w:jc w:val="center"/>
              <w:rPr>
                <w:rFonts w:ascii="Geneva" w:hAnsi="Geneva"/>
                <w:sz w:val="22"/>
                <w:lang w:bidi="x-none"/>
              </w:rPr>
            </w:pPr>
            <w:r w:rsidRPr="00FB00CA">
              <w:rPr>
                <w:rFonts w:ascii="Arial" w:hAnsi="Arial"/>
                <w:sz w:val="22"/>
                <w:lang w:bidi="x-none"/>
              </w:rPr>
              <w:t>mean</w:t>
            </w:r>
          </w:p>
        </w:tc>
        <w:tc>
          <w:tcPr>
            <w:tcW w:w="645" w:type="dxa"/>
            <w:tcBorders>
              <w:top w:val="nil"/>
              <w:left w:val="nil"/>
              <w:bottom w:val="nil"/>
              <w:right w:val="nil"/>
            </w:tcBorders>
            <w:shd w:val="clear" w:color="auto" w:fill="auto"/>
            <w:noWrap/>
            <w:vAlign w:val="bottom"/>
          </w:tcPr>
          <w:p w14:paraId="7206A0EF" w14:textId="77777777" w:rsidR="00485F92" w:rsidRPr="00FB00CA" w:rsidRDefault="00485F92" w:rsidP="00485F92">
            <w:pPr>
              <w:jc w:val="center"/>
              <w:rPr>
                <w:rFonts w:ascii="Geneva" w:hAnsi="Geneva"/>
                <w:sz w:val="22"/>
                <w:lang w:bidi="x-none"/>
              </w:rPr>
            </w:pPr>
            <w:proofErr w:type="spellStart"/>
            <w:r w:rsidRPr="00FB00CA">
              <w:rPr>
                <w:rFonts w:ascii="Arial" w:hAnsi="Arial"/>
                <w:sz w:val="22"/>
                <w:lang w:bidi="x-none"/>
              </w:rPr>
              <w:t>s.d.</w:t>
            </w:r>
            <w:proofErr w:type="spellEnd"/>
          </w:p>
        </w:tc>
        <w:tc>
          <w:tcPr>
            <w:tcW w:w="1490" w:type="dxa"/>
            <w:tcBorders>
              <w:top w:val="nil"/>
              <w:left w:val="nil"/>
              <w:bottom w:val="nil"/>
              <w:right w:val="nil"/>
            </w:tcBorders>
            <w:shd w:val="clear" w:color="auto" w:fill="auto"/>
            <w:noWrap/>
            <w:vAlign w:val="bottom"/>
          </w:tcPr>
          <w:p w14:paraId="0358E2F2" w14:textId="77777777" w:rsidR="00485F92" w:rsidRPr="00FB00CA" w:rsidRDefault="00485F92" w:rsidP="00485F92">
            <w:pPr>
              <w:jc w:val="center"/>
              <w:rPr>
                <w:rFonts w:ascii="Geneva" w:hAnsi="Geneva"/>
                <w:sz w:val="22"/>
                <w:lang w:bidi="x-none"/>
              </w:rPr>
            </w:pPr>
            <w:r w:rsidRPr="00FB00CA">
              <w:rPr>
                <w:rFonts w:ascii="Arial" w:hAnsi="Arial"/>
                <w:sz w:val="22"/>
                <w:lang w:bidi="x-none"/>
              </w:rPr>
              <w:t>median</w:t>
            </w:r>
          </w:p>
        </w:tc>
        <w:tc>
          <w:tcPr>
            <w:tcW w:w="1487" w:type="dxa"/>
            <w:tcBorders>
              <w:top w:val="nil"/>
              <w:left w:val="nil"/>
              <w:bottom w:val="nil"/>
              <w:right w:val="nil"/>
            </w:tcBorders>
            <w:shd w:val="clear" w:color="auto" w:fill="auto"/>
            <w:noWrap/>
            <w:vAlign w:val="bottom"/>
          </w:tcPr>
          <w:p w14:paraId="0407039B" w14:textId="77777777" w:rsidR="00485F92" w:rsidRPr="00FB00CA" w:rsidRDefault="00485F92" w:rsidP="00485F92">
            <w:pPr>
              <w:jc w:val="center"/>
              <w:rPr>
                <w:rFonts w:ascii="Geneva" w:hAnsi="Geneva"/>
                <w:sz w:val="22"/>
                <w:lang w:bidi="x-none"/>
              </w:rPr>
            </w:pPr>
            <w:r w:rsidRPr="00FB00CA">
              <w:rPr>
                <w:rFonts w:ascii="Arial" w:hAnsi="Arial"/>
                <w:sz w:val="22"/>
                <w:lang w:bidi="x-none"/>
              </w:rPr>
              <w:t>mean</w:t>
            </w:r>
          </w:p>
        </w:tc>
        <w:tc>
          <w:tcPr>
            <w:tcW w:w="645" w:type="dxa"/>
            <w:tcBorders>
              <w:top w:val="nil"/>
              <w:left w:val="nil"/>
              <w:bottom w:val="nil"/>
              <w:right w:val="nil"/>
            </w:tcBorders>
            <w:shd w:val="clear" w:color="auto" w:fill="auto"/>
            <w:noWrap/>
            <w:vAlign w:val="bottom"/>
          </w:tcPr>
          <w:p w14:paraId="1C2212CC" w14:textId="77777777" w:rsidR="00485F92" w:rsidRPr="00FB00CA" w:rsidRDefault="00485F92" w:rsidP="00485F92">
            <w:pPr>
              <w:jc w:val="center"/>
              <w:rPr>
                <w:rFonts w:ascii="Geneva" w:hAnsi="Geneva"/>
                <w:sz w:val="22"/>
                <w:lang w:bidi="x-none"/>
              </w:rPr>
            </w:pPr>
            <w:proofErr w:type="spellStart"/>
            <w:r w:rsidRPr="00FB00CA">
              <w:rPr>
                <w:rFonts w:ascii="Arial" w:hAnsi="Arial"/>
                <w:sz w:val="22"/>
                <w:lang w:bidi="x-none"/>
              </w:rPr>
              <w:t>s.d.</w:t>
            </w:r>
            <w:proofErr w:type="spellEnd"/>
          </w:p>
        </w:tc>
        <w:tc>
          <w:tcPr>
            <w:tcW w:w="1490" w:type="dxa"/>
            <w:tcBorders>
              <w:top w:val="nil"/>
              <w:left w:val="nil"/>
              <w:bottom w:val="nil"/>
              <w:right w:val="nil"/>
            </w:tcBorders>
            <w:shd w:val="clear" w:color="auto" w:fill="auto"/>
            <w:noWrap/>
            <w:vAlign w:val="bottom"/>
          </w:tcPr>
          <w:p w14:paraId="6237EC81" w14:textId="77777777" w:rsidR="00485F92" w:rsidRPr="00FB00CA" w:rsidRDefault="00485F92" w:rsidP="00485F92">
            <w:pPr>
              <w:jc w:val="center"/>
              <w:rPr>
                <w:rFonts w:ascii="Geneva" w:hAnsi="Geneva"/>
                <w:sz w:val="22"/>
                <w:lang w:bidi="x-none"/>
              </w:rPr>
            </w:pPr>
            <w:r w:rsidRPr="00FB00CA">
              <w:rPr>
                <w:rFonts w:ascii="Arial" w:hAnsi="Arial"/>
                <w:sz w:val="22"/>
                <w:lang w:bidi="x-none"/>
              </w:rPr>
              <w:t>median</w:t>
            </w:r>
          </w:p>
        </w:tc>
      </w:tr>
      <w:tr w:rsidR="00485F92" w:rsidRPr="00FB00CA" w14:paraId="609CE7CB" w14:textId="77777777">
        <w:trPr>
          <w:trHeight w:val="260"/>
        </w:trPr>
        <w:tc>
          <w:tcPr>
            <w:tcW w:w="2180" w:type="dxa"/>
            <w:tcBorders>
              <w:top w:val="nil"/>
              <w:left w:val="nil"/>
              <w:bottom w:val="nil"/>
              <w:right w:val="nil"/>
            </w:tcBorders>
            <w:shd w:val="clear" w:color="auto" w:fill="auto"/>
            <w:noWrap/>
            <w:vAlign w:val="bottom"/>
          </w:tcPr>
          <w:p w14:paraId="3CFDF172" w14:textId="77777777" w:rsidR="00485F92" w:rsidRPr="00FB00CA" w:rsidRDefault="00485F92" w:rsidP="00485F92">
            <w:pPr>
              <w:jc w:val="right"/>
              <w:rPr>
                <w:rFonts w:ascii="Geneva" w:hAnsi="Geneva"/>
                <w:sz w:val="22"/>
                <w:lang w:bidi="x-none"/>
              </w:rPr>
            </w:pPr>
            <w:r w:rsidRPr="00FB00CA">
              <w:rPr>
                <w:rFonts w:ascii="Arial" w:hAnsi="Arial"/>
                <w:sz w:val="22"/>
                <w:lang w:bidi="x-none"/>
              </w:rPr>
              <w:t>2009</w:t>
            </w:r>
          </w:p>
        </w:tc>
        <w:tc>
          <w:tcPr>
            <w:tcW w:w="1487" w:type="dxa"/>
            <w:tcBorders>
              <w:top w:val="nil"/>
              <w:left w:val="nil"/>
              <w:bottom w:val="nil"/>
              <w:right w:val="nil"/>
            </w:tcBorders>
            <w:shd w:val="clear" w:color="auto" w:fill="auto"/>
            <w:noWrap/>
            <w:vAlign w:val="bottom"/>
          </w:tcPr>
          <w:p w14:paraId="752467CB" w14:textId="77777777" w:rsidR="00485F92" w:rsidRPr="00FB00CA" w:rsidRDefault="00485F92" w:rsidP="00485F92">
            <w:pPr>
              <w:jc w:val="center"/>
              <w:rPr>
                <w:rFonts w:ascii="Geneva" w:hAnsi="Geneva"/>
                <w:sz w:val="22"/>
                <w:lang w:bidi="x-none"/>
              </w:rPr>
            </w:pPr>
            <w:r w:rsidRPr="00FB00CA">
              <w:rPr>
                <w:rFonts w:ascii="Arial" w:hAnsi="Arial"/>
                <w:sz w:val="22"/>
                <w:lang w:bidi="x-none"/>
              </w:rPr>
              <w:t>99.7</w:t>
            </w:r>
          </w:p>
        </w:tc>
        <w:tc>
          <w:tcPr>
            <w:tcW w:w="645" w:type="dxa"/>
            <w:tcBorders>
              <w:top w:val="nil"/>
              <w:left w:val="nil"/>
              <w:bottom w:val="nil"/>
              <w:right w:val="nil"/>
            </w:tcBorders>
            <w:shd w:val="clear" w:color="auto" w:fill="auto"/>
            <w:noWrap/>
            <w:vAlign w:val="bottom"/>
          </w:tcPr>
          <w:p w14:paraId="10AEDE98" w14:textId="77777777" w:rsidR="00485F92" w:rsidRPr="00FB00CA" w:rsidRDefault="00485F92" w:rsidP="00485F92">
            <w:pPr>
              <w:jc w:val="center"/>
              <w:rPr>
                <w:rFonts w:ascii="Geneva" w:hAnsi="Geneva"/>
                <w:sz w:val="22"/>
                <w:lang w:bidi="x-none"/>
              </w:rPr>
            </w:pPr>
            <w:r w:rsidRPr="00FB00CA">
              <w:rPr>
                <w:rFonts w:ascii="Arial" w:hAnsi="Arial"/>
                <w:sz w:val="22"/>
                <w:lang w:bidi="x-none"/>
              </w:rPr>
              <w:t>51.5</w:t>
            </w:r>
          </w:p>
        </w:tc>
        <w:tc>
          <w:tcPr>
            <w:tcW w:w="1490" w:type="dxa"/>
            <w:tcBorders>
              <w:top w:val="nil"/>
              <w:left w:val="nil"/>
              <w:bottom w:val="nil"/>
              <w:right w:val="nil"/>
            </w:tcBorders>
            <w:shd w:val="clear" w:color="auto" w:fill="auto"/>
            <w:noWrap/>
            <w:vAlign w:val="bottom"/>
          </w:tcPr>
          <w:p w14:paraId="1F9E2CD6" w14:textId="77777777" w:rsidR="00485F92" w:rsidRPr="00FB00CA" w:rsidRDefault="00485F92" w:rsidP="00485F92">
            <w:pPr>
              <w:jc w:val="center"/>
              <w:rPr>
                <w:rFonts w:ascii="Geneva" w:hAnsi="Geneva"/>
                <w:sz w:val="22"/>
                <w:lang w:bidi="x-none"/>
              </w:rPr>
            </w:pPr>
            <w:r w:rsidRPr="00FB00CA">
              <w:rPr>
                <w:rFonts w:ascii="Arial" w:hAnsi="Arial"/>
                <w:sz w:val="22"/>
                <w:lang w:bidi="x-none"/>
              </w:rPr>
              <w:t>84.2</w:t>
            </w:r>
          </w:p>
        </w:tc>
        <w:tc>
          <w:tcPr>
            <w:tcW w:w="1487" w:type="dxa"/>
            <w:tcBorders>
              <w:top w:val="nil"/>
              <w:left w:val="nil"/>
              <w:bottom w:val="nil"/>
              <w:right w:val="nil"/>
            </w:tcBorders>
            <w:shd w:val="clear" w:color="auto" w:fill="auto"/>
            <w:noWrap/>
            <w:vAlign w:val="bottom"/>
          </w:tcPr>
          <w:p w14:paraId="122AC963" w14:textId="77777777" w:rsidR="00485F92" w:rsidRPr="00FB00CA" w:rsidRDefault="00485F92" w:rsidP="00485F92">
            <w:pPr>
              <w:jc w:val="center"/>
              <w:rPr>
                <w:rFonts w:ascii="Geneva" w:hAnsi="Geneva"/>
                <w:sz w:val="22"/>
                <w:lang w:bidi="x-none"/>
              </w:rPr>
            </w:pPr>
            <w:r w:rsidRPr="00FB00CA">
              <w:rPr>
                <w:rFonts w:ascii="Arial" w:hAnsi="Arial"/>
                <w:sz w:val="22"/>
                <w:lang w:bidi="x-none"/>
              </w:rPr>
              <w:t>45.9</w:t>
            </w:r>
          </w:p>
        </w:tc>
        <w:tc>
          <w:tcPr>
            <w:tcW w:w="645" w:type="dxa"/>
            <w:tcBorders>
              <w:top w:val="nil"/>
              <w:left w:val="nil"/>
              <w:bottom w:val="nil"/>
              <w:right w:val="nil"/>
            </w:tcBorders>
            <w:shd w:val="clear" w:color="auto" w:fill="auto"/>
            <w:noWrap/>
            <w:vAlign w:val="bottom"/>
          </w:tcPr>
          <w:p w14:paraId="0E7CA4EC" w14:textId="77777777" w:rsidR="00485F92" w:rsidRPr="00FB00CA" w:rsidRDefault="00485F92" w:rsidP="00485F92">
            <w:pPr>
              <w:jc w:val="center"/>
              <w:rPr>
                <w:rFonts w:ascii="Geneva" w:hAnsi="Geneva"/>
                <w:sz w:val="22"/>
                <w:lang w:bidi="x-none"/>
              </w:rPr>
            </w:pPr>
            <w:r w:rsidRPr="00FB00CA">
              <w:rPr>
                <w:rFonts w:ascii="Arial" w:hAnsi="Arial"/>
                <w:sz w:val="22"/>
                <w:lang w:bidi="x-none"/>
              </w:rPr>
              <w:t>18.0</w:t>
            </w:r>
          </w:p>
        </w:tc>
        <w:tc>
          <w:tcPr>
            <w:tcW w:w="1490" w:type="dxa"/>
            <w:tcBorders>
              <w:top w:val="nil"/>
              <w:left w:val="nil"/>
              <w:bottom w:val="nil"/>
              <w:right w:val="nil"/>
            </w:tcBorders>
            <w:shd w:val="clear" w:color="auto" w:fill="auto"/>
            <w:noWrap/>
            <w:vAlign w:val="bottom"/>
          </w:tcPr>
          <w:p w14:paraId="5ECFAFEC" w14:textId="77777777" w:rsidR="00485F92" w:rsidRPr="00FB00CA" w:rsidRDefault="00485F92" w:rsidP="00485F92">
            <w:pPr>
              <w:jc w:val="center"/>
              <w:rPr>
                <w:rFonts w:ascii="Geneva" w:hAnsi="Geneva"/>
                <w:sz w:val="22"/>
                <w:lang w:bidi="x-none"/>
              </w:rPr>
            </w:pPr>
            <w:r w:rsidRPr="00FB00CA">
              <w:rPr>
                <w:rFonts w:ascii="Arial" w:hAnsi="Arial"/>
                <w:sz w:val="22"/>
                <w:lang w:bidi="x-none"/>
              </w:rPr>
              <w:t>40.9</w:t>
            </w:r>
          </w:p>
        </w:tc>
      </w:tr>
      <w:tr w:rsidR="00485F92" w:rsidRPr="00FB00CA" w14:paraId="223A624E" w14:textId="77777777">
        <w:trPr>
          <w:trHeight w:val="260"/>
        </w:trPr>
        <w:tc>
          <w:tcPr>
            <w:tcW w:w="2180" w:type="dxa"/>
            <w:tcBorders>
              <w:top w:val="nil"/>
              <w:left w:val="nil"/>
              <w:bottom w:val="nil"/>
              <w:right w:val="nil"/>
            </w:tcBorders>
            <w:shd w:val="clear" w:color="auto" w:fill="auto"/>
            <w:noWrap/>
            <w:vAlign w:val="bottom"/>
          </w:tcPr>
          <w:p w14:paraId="7E7548A2" w14:textId="77777777" w:rsidR="00485F92" w:rsidRPr="00FB00CA" w:rsidRDefault="00485F92" w:rsidP="00485F92">
            <w:pPr>
              <w:jc w:val="right"/>
              <w:rPr>
                <w:rFonts w:ascii="Geneva" w:hAnsi="Geneva"/>
                <w:sz w:val="22"/>
                <w:lang w:bidi="x-none"/>
              </w:rPr>
            </w:pPr>
            <w:r w:rsidRPr="00FB00CA">
              <w:rPr>
                <w:rFonts w:ascii="Arial" w:hAnsi="Arial"/>
                <w:sz w:val="22"/>
                <w:lang w:bidi="x-none"/>
              </w:rPr>
              <w:t>2010</w:t>
            </w:r>
          </w:p>
        </w:tc>
        <w:tc>
          <w:tcPr>
            <w:tcW w:w="1487" w:type="dxa"/>
            <w:tcBorders>
              <w:top w:val="nil"/>
              <w:left w:val="nil"/>
              <w:bottom w:val="nil"/>
              <w:right w:val="nil"/>
            </w:tcBorders>
            <w:shd w:val="clear" w:color="auto" w:fill="auto"/>
            <w:noWrap/>
            <w:vAlign w:val="bottom"/>
          </w:tcPr>
          <w:p w14:paraId="747072A6" w14:textId="77777777" w:rsidR="00485F92" w:rsidRPr="00FB00CA" w:rsidRDefault="00485F92" w:rsidP="00485F92">
            <w:pPr>
              <w:jc w:val="center"/>
              <w:rPr>
                <w:rFonts w:ascii="Geneva" w:hAnsi="Geneva"/>
                <w:sz w:val="22"/>
                <w:lang w:bidi="x-none"/>
              </w:rPr>
            </w:pPr>
            <w:r w:rsidRPr="00FB00CA">
              <w:rPr>
                <w:rFonts w:ascii="Arial" w:hAnsi="Arial"/>
                <w:sz w:val="22"/>
                <w:lang w:bidi="x-none"/>
              </w:rPr>
              <w:t>51.0</w:t>
            </w:r>
          </w:p>
        </w:tc>
        <w:tc>
          <w:tcPr>
            <w:tcW w:w="645" w:type="dxa"/>
            <w:tcBorders>
              <w:top w:val="nil"/>
              <w:left w:val="nil"/>
              <w:bottom w:val="nil"/>
              <w:right w:val="nil"/>
            </w:tcBorders>
            <w:shd w:val="clear" w:color="auto" w:fill="auto"/>
            <w:noWrap/>
            <w:vAlign w:val="bottom"/>
          </w:tcPr>
          <w:p w14:paraId="18EB37A1" w14:textId="77777777" w:rsidR="00485F92" w:rsidRPr="00FB00CA" w:rsidRDefault="00485F92" w:rsidP="00485F92">
            <w:pPr>
              <w:jc w:val="center"/>
              <w:rPr>
                <w:rFonts w:ascii="Geneva" w:hAnsi="Geneva"/>
                <w:sz w:val="22"/>
                <w:lang w:bidi="x-none"/>
              </w:rPr>
            </w:pPr>
            <w:r w:rsidRPr="00FB00CA">
              <w:rPr>
                <w:rFonts w:ascii="Arial" w:hAnsi="Arial"/>
                <w:sz w:val="22"/>
                <w:lang w:bidi="x-none"/>
              </w:rPr>
              <w:t>27.3</w:t>
            </w:r>
          </w:p>
        </w:tc>
        <w:tc>
          <w:tcPr>
            <w:tcW w:w="1490" w:type="dxa"/>
            <w:tcBorders>
              <w:top w:val="nil"/>
              <w:left w:val="nil"/>
              <w:bottom w:val="nil"/>
              <w:right w:val="nil"/>
            </w:tcBorders>
            <w:shd w:val="clear" w:color="auto" w:fill="auto"/>
            <w:noWrap/>
            <w:vAlign w:val="bottom"/>
          </w:tcPr>
          <w:p w14:paraId="12C1CF91" w14:textId="77777777" w:rsidR="00485F92" w:rsidRPr="00FB00CA" w:rsidRDefault="00485F92" w:rsidP="00485F92">
            <w:pPr>
              <w:jc w:val="center"/>
              <w:rPr>
                <w:rFonts w:ascii="Geneva" w:hAnsi="Geneva"/>
                <w:sz w:val="22"/>
                <w:lang w:bidi="x-none"/>
              </w:rPr>
            </w:pPr>
            <w:r w:rsidRPr="00FB00CA">
              <w:rPr>
                <w:rFonts w:ascii="Arial" w:hAnsi="Arial"/>
                <w:sz w:val="22"/>
                <w:lang w:bidi="x-none"/>
              </w:rPr>
              <w:t>46.9</w:t>
            </w:r>
          </w:p>
        </w:tc>
        <w:tc>
          <w:tcPr>
            <w:tcW w:w="1487" w:type="dxa"/>
            <w:tcBorders>
              <w:top w:val="nil"/>
              <w:left w:val="nil"/>
              <w:bottom w:val="nil"/>
              <w:right w:val="nil"/>
            </w:tcBorders>
            <w:shd w:val="clear" w:color="auto" w:fill="auto"/>
            <w:noWrap/>
            <w:vAlign w:val="bottom"/>
          </w:tcPr>
          <w:p w14:paraId="3044AA5E" w14:textId="77777777" w:rsidR="00485F92" w:rsidRPr="00FB00CA" w:rsidRDefault="00485F92" w:rsidP="00485F92">
            <w:pPr>
              <w:jc w:val="center"/>
              <w:rPr>
                <w:rFonts w:ascii="Geneva" w:hAnsi="Geneva"/>
                <w:sz w:val="22"/>
                <w:lang w:bidi="x-none"/>
              </w:rPr>
            </w:pPr>
            <w:r w:rsidRPr="00FB00CA">
              <w:rPr>
                <w:rFonts w:ascii="Arial" w:hAnsi="Arial"/>
                <w:sz w:val="22"/>
                <w:lang w:bidi="x-none"/>
              </w:rPr>
              <w:t>28.8</w:t>
            </w:r>
          </w:p>
        </w:tc>
        <w:tc>
          <w:tcPr>
            <w:tcW w:w="645" w:type="dxa"/>
            <w:tcBorders>
              <w:top w:val="nil"/>
              <w:left w:val="nil"/>
              <w:bottom w:val="nil"/>
              <w:right w:val="nil"/>
            </w:tcBorders>
            <w:shd w:val="clear" w:color="auto" w:fill="auto"/>
            <w:noWrap/>
            <w:vAlign w:val="bottom"/>
          </w:tcPr>
          <w:p w14:paraId="5548B6EF" w14:textId="77777777" w:rsidR="00485F92" w:rsidRPr="00FB00CA" w:rsidRDefault="00485F92" w:rsidP="00485F92">
            <w:pPr>
              <w:jc w:val="center"/>
              <w:rPr>
                <w:rFonts w:ascii="Geneva" w:hAnsi="Geneva"/>
                <w:sz w:val="22"/>
                <w:lang w:bidi="x-none"/>
              </w:rPr>
            </w:pPr>
            <w:r w:rsidRPr="00FB00CA">
              <w:rPr>
                <w:rFonts w:ascii="Arial" w:hAnsi="Arial"/>
                <w:sz w:val="22"/>
                <w:lang w:bidi="x-none"/>
              </w:rPr>
              <w:t>12.3</w:t>
            </w:r>
          </w:p>
        </w:tc>
        <w:tc>
          <w:tcPr>
            <w:tcW w:w="1490" w:type="dxa"/>
            <w:tcBorders>
              <w:top w:val="nil"/>
              <w:left w:val="nil"/>
              <w:bottom w:val="nil"/>
              <w:right w:val="nil"/>
            </w:tcBorders>
            <w:shd w:val="clear" w:color="auto" w:fill="auto"/>
            <w:noWrap/>
            <w:vAlign w:val="bottom"/>
          </w:tcPr>
          <w:p w14:paraId="619EC00B" w14:textId="77777777" w:rsidR="00485F92" w:rsidRPr="00FB00CA" w:rsidRDefault="00485F92" w:rsidP="00485F92">
            <w:pPr>
              <w:jc w:val="center"/>
              <w:rPr>
                <w:rFonts w:ascii="Geneva" w:hAnsi="Geneva"/>
                <w:sz w:val="22"/>
                <w:lang w:bidi="x-none"/>
              </w:rPr>
            </w:pPr>
            <w:r w:rsidRPr="00FB00CA">
              <w:rPr>
                <w:rFonts w:ascii="Arial" w:hAnsi="Arial"/>
                <w:sz w:val="22"/>
                <w:lang w:bidi="x-none"/>
              </w:rPr>
              <w:t>28.9</w:t>
            </w:r>
          </w:p>
        </w:tc>
      </w:tr>
      <w:tr w:rsidR="00485F92" w:rsidRPr="00FB00CA" w14:paraId="7CDC6502" w14:textId="77777777">
        <w:trPr>
          <w:trHeight w:val="260"/>
        </w:trPr>
        <w:tc>
          <w:tcPr>
            <w:tcW w:w="2180" w:type="dxa"/>
            <w:tcBorders>
              <w:top w:val="nil"/>
              <w:left w:val="nil"/>
              <w:bottom w:val="nil"/>
              <w:right w:val="nil"/>
            </w:tcBorders>
            <w:shd w:val="clear" w:color="auto" w:fill="auto"/>
            <w:noWrap/>
            <w:vAlign w:val="bottom"/>
          </w:tcPr>
          <w:p w14:paraId="34DA0AED" w14:textId="77777777" w:rsidR="00485F92" w:rsidRPr="00FB00CA" w:rsidRDefault="00485F92" w:rsidP="00485F92">
            <w:pPr>
              <w:jc w:val="right"/>
              <w:rPr>
                <w:rFonts w:ascii="Geneva" w:hAnsi="Geneva"/>
                <w:sz w:val="22"/>
                <w:lang w:bidi="x-none"/>
              </w:rPr>
            </w:pPr>
            <w:r w:rsidRPr="00FB00CA">
              <w:rPr>
                <w:rFonts w:ascii="Arial" w:hAnsi="Arial"/>
                <w:sz w:val="22"/>
                <w:lang w:bidi="x-none"/>
              </w:rPr>
              <w:t>2011</w:t>
            </w:r>
          </w:p>
        </w:tc>
        <w:tc>
          <w:tcPr>
            <w:tcW w:w="1487" w:type="dxa"/>
            <w:tcBorders>
              <w:top w:val="nil"/>
              <w:left w:val="nil"/>
              <w:bottom w:val="nil"/>
              <w:right w:val="nil"/>
            </w:tcBorders>
            <w:shd w:val="clear" w:color="auto" w:fill="auto"/>
            <w:noWrap/>
            <w:vAlign w:val="bottom"/>
          </w:tcPr>
          <w:p w14:paraId="2BE1EF9B" w14:textId="77777777" w:rsidR="00485F92" w:rsidRPr="00FB00CA" w:rsidRDefault="00485F92" w:rsidP="00485F92">
            <w:pPr>
              <w:jc w:val="center"/>
              <w:rPr>
                <w:rFonts w:ascii="Geneva" w:hAnsi="Geneva"/>
                <w:sz w:val="22"/>
                <w:lang w:bidi="x-none"/>
              </w:rPr>
            </w:pPr>
            <w:r w:rsidRPr="00FB00CA">
              <w:rPr>
                <w:rFonts w:ascii="Arial" w:hAnsi="Arial"/>
                <w:sz w:val="22"/>
                <w:lang w:bidi="x-none"/>
              </w:rPr>
              <w:t>36.7</w:t>
            </w:r>
          </w:p>
        </w:tc>
        <w:tc>
          <w:tcPr>
            <w:tcW w:w="645" w:type="dxa"/>
            <w:tcBorders>
              <w:top w:val="nil"/>
              <w:left w:val="nil"/>
              <w:bottom w:val="nil"/>
              <w:right w:val="nil"/>
            </w:tcBorders>
            <w:shd w:val="clear" w:color="auto" w:fill="auto"/>
            <w:noWrap/>
            <w:vAlign w:val="bottom"/>
          </w:tcPr>
          <w:p w14:paraId="15B1C80E" w14:textId="77777777" w:rsidR="00485F92" w:rsidRPr="00FB00CA" w:rsidRDefault="00485F92" w:rsidP="00485F92">
            <w:pPr>
              <w:jc w:val="center"/>
              <w:rPr>
                <w:rFonts w:ascii="Geneva" w:hAnsi="Geneva"/>
                <w:sz w:val="22"/>
                <w:lang w:bidi="x-none"/>
              </w:rPr>
            </w:pPr>
            <w:r w:rsidRPr="00FB00CA">
              <w:rPr>
                <w:rFonts w:ascii="Arial" w:hAnsi="Arial"/>
                <w:sz w:val="22"/>
                <w:lang w:bidi="x-none"/>
              </w:rPr>
              <w:t>15.3</w:t>
            </w:r>
          </w:p>
        </w:tc>
        <w:tc>
          <w:tcPr>
            <w:tcW w:w="1490" w:type="dxa"/>
            <w:tcBorders>
              <w:top w:val="nil"/>
              <w:left w:val="nil"/>
              <w:bottom w:val="nil"/>
              <w:right w:val="nil"/>
            </w:tcBorders>
            <w:shd w:val="clear" w:color="auto" w:fill="auto"/>
            <w:noWrap/>
            <w:vAlign w:val="bottom"/>
          </w:tcPr>
          <w:p w14:paraId="60548425" w14:textId="77777777" w:rsidR="00485F92" w:rsidRPr="00FB00CA" w:rsidRDefault="00485F92" w:rsidP="00485F92">
            <w:pPr>
              <w:jc w:val="center"/>
              <w:rPr>
                <w:rFonts w:ascii="Geneva" w:hAnsi="Geneva"/>
                <w:sz w:val="22"/>
                <w:lang w:bidi="x-none"/>
              </w:rPr>
            </w:pPr>
            <w:r w:rsidRPr="00FB00CA">
              <w:rPr>
                <w:rFonts w:ascii="Arial" w:hAnsi="Arial"/>
                <w:sz w:val="22"/>
                <w:lang w:bidi="x-none"/>
              </w:rPr>
              <w:t>36.1</w:t>
            </w:r>
          </w:p>
        </w:tc>
        <w:tc>
          <w:tcPr>
            <w:tcW w:w="1487" w:type="dxa"/>
            <w:tcBorders>
              <w:top w:val="nil"/>
              <w:left w:val="nil"/>
              <w:bottom w:val="nil"/>
              <w:right w:val="nil"/>
            </w:tcBorders>
            <w:shd w:val="clear" w:color="auto" w:fill="auto"/>
            <w:noWrap/>
            <w:vAlign w:val="bottom"/>
          </w:tcPr>
          <w:p w14:paraId="255E6F16" w14:textId="77777777" w:rsidR="00485F92" w:rsidRPr="00FB00CA" w:rsidRDefault="00485F92" w:rsidP="00485F92">
            <w:pPr>
              <w:jc w:val="center"/>
              <w:rPr>
                <w:rFonts w:ascii="Geneva" w:hAnsi="Geneva"/>
                <w:sz w:val="22"/>
                <w:lang w:bidi="x-none"/>
              </w:rPr>
            </w:pPr>
            <w:r w:rsidRPr="00FB00CA">
              <w:rPr>
                <w:rFonts w:ascii="Arial" w:hAnsi="Arial"/>
                <w:sz w:val="22"/>
                <w:lang w:bidi="x-none"/>
              </w:rPr>
              <w:t>64.6</w:t>
            </w:r>
          </w:p>
        </w:tc>
        <w:tc>
          <w:tcPr>
            <w:tcW w:w="645" w:type="dxa"/>
            <w:tcBorders>
              <w:top w:val="nil"/>
              <w:left w:val="nil"/>
              <w:bottom w:val="nil"/>
              <w:right w:val="nil"/>
            </w:tcBorders>
            <w:shd w:val="clear" w:color="auto" w:fill="auto"/>
            <w:noWrap/>
            <w:vAlign w:val="bottom"/>
          </w:tcPr>
          <w:p w14:paraId="32D86B32" w14:textId="77777777" w:rsidR="00485F92" w:rsidRPr="00FB00CA" w:rsidRDefault="00485F92" w:rsidP="00485F92">
            <w:pPr>
              <w:jc w:val="center"/>
              <w:rPr>
                <w:rFonts w:ascii="Geneva" w:hAnsi="Geneva"/>
                <w:sz w:val="22"/>
                <w:lang w:bidi="x-none"/>
              </w:rPr>
            </w:pPr>
            <w:r w:rsidRPr="00FB00CA">
              <w:rPr>
                <w:rFonts w:ascii="Arial" w:hAnsi="Arial"/>
                <w:sz w:val="22"/>
                <w:lang w:bidi="x-none"/>
              </w:rPr>
              <w:t>50.4</w:t>
            </w:r>
          </w:p>
        </w:tc>
        <w:tc>
          <w:tcPr>
            <w:tcW w:w="1490" w:type="dxa"/>
            <w:tcBorders>
              <w:top w:val="nil"/>
              <w:left w:val="nil"/>
              <w:bottom w:val="nil"/>
              <w:right w:val="nil"/>
            </w:tcBorders>
            <w:shd w:val="clear" w:color="auto" w:fill="auto"/>
            <w:noWrap/>
            <w:vAlign w:val="bottom"/>
          </w:tcPr>
          <w:p w14:paraId="33952C97" w14:textId="77777777" w:rsidR="00485F92" w:rsidRPr="00FB00CA" w:rsidRDefault="00485F92" w:rsidP="00485F92">
            <w:pPr>
              <w:jc w:val="center"/>
              <w:rPr>
                <w:rFonts w:ascii="Geneva" w:hAnsi="Geneva"/>
                <w:sz w:val="22"/>
                <w:lang w:bidi="x-none"/>
              </w:rPr>
            </w:pPr>
            <w:r w:rsidRPr="00FB00CA">
              <w:rPr>
                <w:rFonts w:ascii="Arial" w:hAnsi="Arial"/>
                <w:sz w:val="22"/>
                <w:lang w:bidi="x-none"/>
              </w:rPr>
              <w:t>42.4</w:t>
            </w:r>
          </w:p>
        </w:tc>
      </w:tr>
      <w:tr w:rsidR="00485F92" w:rsidRPr="00FB00CA" w14:paraId="3FC370A4" w14:textId="77777777">
        <w:trPr>
          <w:trHeight w:val="260"/>
        </w:trPr>
        <w:tc>
          <w:tcPr>
            <w:tcW w:w="2180" w:type="dxa"/>
            <w:tcBorders>
              <w:top w:val="nil"/>
              <w:left w:val="nil"/>
              <w:bottom w:val="nil"/>
              <w:right w:val="nil"/>
            </w:tcBorders>
            <w:shd w:val="clear" w:color="auto" w:fill="auto"/>
            <w:noWrap/>
            <w:vAlign w:val="bottom"/>
          </w:tcPr>
          <w:p w14:paraId="2E1BFADC" w14:textId="77777777" w:rsidR="00485F92" w:rsidRPr="00FB00CA" w:rsidRDefault="00485F92" w:rsidP="00485F92">
            <w:pPr>
              <w:rPr>
                <w:rFonts w:ascii="Geneva" w:hAnsi="Geneva"/>
                <w:sz w:val="22"/>
                <w:lang w:bidi="x-none"/>
              </w:rPr>
            </w:pPr>
            <w:r w:rsidRPr="00FB00CA">
              <w:rPr>
                <w:rFonts w:ascii="Arial" w:hAnsi="Arial"/>
                <w:sz w:val="22"/>
                <w:lang w:bidi="x-none"/>
              </w:rPr>
              <w:t>MeHg (ng/g)</w:t>
            </w:r>
          </w:p>
        </w:tc>
        <w:tc>
          <w:tcPr>
            <w:tcW w:w="1487" w:type="dxa"/>
            <w:tcBorders>
              <w:top w:val="nil"/>
              <w:left w:val="nil"/>
              <w:bottom w:val="nil"/>
              <w:right w:val="nil"/>
            </w:tcBorders>
            <w:shd w:val="clear" w:color="auto" w:fill="auto"/>
            <w:noWrap/>
            <w:vAlign w:val="bottom"/>
          </w:tcPr>
          <w:p w14:paraId="02738A97" w14:textId="77777777" w:rsidR="00485F92" w:rsidRPr="00FB00CA" w:rsidRDefault="00485F92" w:rsidP="00485F92">
            <w:pPr>
              <w:jc w:val="center"/>
              <w:rPr>
                <w:rFonts w:ascii="Geneva" w:hAnsi="Geneva"/>
                <w:sz w:val="22"/>
                <w:lang w:bidi="x-none"/>
              </w:rPr>
            </w:pPr>
          </w:p>
        </w:tc>
        <w:tc>
          <w:tcPr>
            <w:tcW w:w="645" w:type="dxa"/>
            <w:tcBorders>
              <w:top w:val="nil"/>
              <w:left w:val="nil"/>
              <w:bottom w:val="nil"/>
              <w:right w:val="nil"/>
            </w:tcBorders>
            <w:shd w:val="clear" w:color="auto" w:fill="auto"/>
            <w:noWrap/>
            <w:vAlign w:val="bottom"/>
          </w:tcPr>
          <w:p w14:paraId="25986CF8" w14:textId="77777777" w:rsidR="00485F92" w:rsidRPr="00FB00CA" w:rsidRDefault="00485F92" w:rsidP="00485F92">
            <w:pPr>
              <w:jc w:val="center"/>
              <w:rPr>
                <w:rFonts w:ascii="Geneva" w:hAnsi="Geneva"/>
                <w:sz w:val="22"/>
                <w:lang w:bidi="x-none"/>
              </w:rPr>
            </w:pPr>
          </w:p>
        </w:tc>
        <w:tc>
          <w:tcPr>
            <w:tcW w:w="1490" w:type="dxa"/>
            <w:tcBorders>
              <w:top w:val="nil"/>
              <w:left w:val="nil"/>
              <w:bottom w:val="nil"/>
              <w:right w:val="nil"/>
            </w:tcBorders>
            <w:shd w:val="clear" w:color="auto" w:fill="auto"/>
            <w:noWrap/>
            <w:vAlign w:val="bottom"/>
          </w:tcPr>
          <w:p w14:paraId="63991CB8" w14:textId="77777777" w:rsidR="00485F92" w:rsidRPr="00FB00CA" w:rsidRDefault="00485F92" w:rsidP="00485F92">
            <w:pPr>
              <w:jc w:val="center"/>
              <w:rPr>
                <w:rFonts w:ascii="Geneva" w:hAnsi="Geneva"/>
                <w:sz w:val="22"/>
                <w:lang w:bidi="x-none"/>
              </w:rPr>
            </w:pPr>
          </w:p>
        </w:tc>
        <w:tc>
          <w:tcPr>
            <w:tcW w:w="1487" w:type="dxa"/>
            <w:tcBorders>
              <w:top w:val="nil"/>
              <w:left w:val="nil"/>
              <w:bottom w:val="nil"/>
              <w:right w:val="nil"/>
            </w:tcBorders>
            <w:shd w:val="clear" w:color="auto" w:fill="auto"/>
            <w:noWrap/>
            <w:vAlign w:val="bottom"/>
          </w:tcPr>
          <w:p w14:paraId="03EF9949" w14:textId="77777777" w:rsidR="00485F92" w:rsidRPr="00FB00CA" w:rsidRDefault="00485F92" w:rsidP="00485F92">
            <w:pPr>
              <w:jc w:val="center"/>
              <w:rPr>
                <w:rFonts w:ascii="Geneva" w:hAnsi="Geneva"/>
                <w:sz w:val="22"/>
                <w:lang w:bidi="x-none"/>
              </w:rPr>
            </w:pPr>
          </w:p>
        </w:tc>
        <w:tc>
          <w:tcPr>
            <w:tcW w:w="645" w:type="dxa"/>
            <w:tcBorders>
              <w:top w:val="nil"/>
              <w:left w:val="nil"/>
              <w:bottom w:val="nil"/>
              <w:right w:val="nil"/>
            </w:tcBorders>
            <w:shd w:val="clear" w:color="auto" w:fill="auto"/>
            <w:noWrap/>
            <w:vAlign w:val="bottom"/>
          </w:tcPr>
          <w:p w14:paraId="19D84237" w14:textId="77777777" w:rsidR="00485F92" w:rsidRPr="00FB00CA" w:rsidRDefault="00485F92" w:rsidP="00485F92">
            <w:pPr>
              <w:jc w:val="center"/>
              <w:rPr>
                <w:rFonts w:ascii="Geneva" w:hAnsi="Geneva"/>
                <w:sz w:val="22"/>
                <w:lang w:bidi="x-none"/>
              </w:rPr>
            </w:pPr>
          </w:p>
        </w:tc>
        <w:tc>
          <w:tcPr>
            <w:tcW w:w="1490" w:type="dxa"/>
            <w:tcBorders>
              <w:top w:val="nil"/>
              <w:left w:val="nil"/>
              <w:bottom w:val="nil"/>
              <w:right w:val="nil"/>
            </w:tcBorders>
            <w:shd w:val="clear" w:color="auto" w:fill="auto"/>
            <w:noWrap/>
            <w:vAlign w:val="bottom"/>
          </w:tcPr>
          <w:p w14:paraId="1870F067" w14:textId="77777777" w:rsidR="00485F92" w:rsidRPr="00FB00CA" w:rsidRDefault="00485F92" w:rsidP="00485F92">
            <w:pPr>
              <w:jc w:val="center"/>
              <w:rPr>
                <w:rFonts w:ascii="Geneva" w:hAnsi="Geneva"/>
                <w:sz w:val="22"/>
                <w:lang w:bidi="x-none"/>
              </w:rPr>
            </w:pPr>
          </w:p>
        </w:tc>
      </w:tr>
      <w:tr w:rsidR="00485F92" w:rsidRPr="00FB00CA" w14:paraId="312153B4" w14:textId="77777777">
        <w:trPr>
          <w:trHeight w:val="260"/>
        </w:trPr>
        <w:tc>
          <w:tcPr>
            <w:tcW w:w="2180" w:type="dxa"/>
            <w:tcBorders>
              <w:top w:val="nil"/>
              <w:left w:val="nil"/>
              <w:bottom w:val="nil"/>
              <w:right w:val="nil"/>
            </w:tcBorders>
            <w:shd w:val="clear" w:color="auto" w:fill="auto"/>
            <w:noWrap/>
            <w:vAlign w:val="bottom"/>
          </w:tcPr>
          <w:p w14:paraId="47C51985" w14:textId="77777777" w:rsidR="00485F92" w:rsidRPr="00FB00CA" w:rsidRDefault="00485F92" w:rsidP="00485F92">
            <w:pPr>
              <w:jc w:val="right"/>
              <w:rPr>
                <w:rFonts w:ascii="Geneva" w:hAnsi="Geneva"/>
                <w:sz w:val="22"/>
                <w:lang w:bidi="x-none"/>
              </w:rPr>
            </w:pPr>
            <w:r w:rsidRPr="00FB00CA">
              <w:rPr>
                <w:rFonts w:ascii="Arial" w:hAnsi="Arial"/>
                <w:sz w:val="22"/>
                <w:lang w:bidi="x-none"/>
              </w:rPr>
              <w:t>2009</w:t>
            </w:r>
          </w:p>
        </w:tc>
        <w:tc>
          <w:tcPr>
            <w:tcW w:w="1487" w:type="dxa"/>
            <w:tcBorders>
              <w:top w:val="nil"/>
              <w:left w:val="nil"/>
              <w:bottom w:val="nil"/>
              <w:right w:val="nil"/>
            </w:tcBorders>
            <w:shd w:val="clear" w:color="auto" w:fill="auto"/>
            <w:noWrap/>
            <w:vAlign w:val="bottom"/>
          </w:tcPr>
          <w:p w14:paraId="6F70EA44" w14:textId="77777777" w:rsidR="00485F92" w:rsidRPr="00FB00CA" w:rsidRDefault="00485F92" w:rsidP="00485F92">
            <w:pPr>
              <w:jc w:val="center"/>
              <w:rPr>
                <w:rFonts w:ascii="Geneva" w:hAnsi="Geneva"/>
                <w:sz w:val="22"/>
                <w:lang w:bidi="x-none"/>
              </w:rPr>
            </w:pPr>
            <w:r w:rsidRPr="00FB00CA">
              <w:rPr>
                <w:rFonts w:ascii="Arial" w:hAnsi="Arial"/>
                <w:sz w:val="22"/>
                <w:lang w:bidi="x-none"/>
              </w:rPr>
              <w:t>69.3</w:t>
            </w:r>
          </w:p>
        </w:tc>
        <w:tc>
          <w:tcPr>
            <w:tcW w:w="645" w:type="dxa"/>
            <w:tcBorders>
              <w:top w:val="nil"/>
              <w:left w:val="nil"/>
              <w:bottom w:val="nil"/>
              <w:right w:val="nil"/>
            </w:tcBorders>
            <w:shd w:val="clear" w:color="auto" w:fill="auto"/>
            <w:noWrap/>
            <w:vAlign w:val="bottom"/>
          </w:tcPr>
          <w:p w14:paraId="59D82292" w14:textId="77777777" w:rsidR="00485F92" w:rsidRPr="00FB00CA" w:rsidRDefault="00485F92" w:rsidP="00485F92">
            <w:pPr>
              <w:jc w:val="center"/>
              <w:rPr>
                <w:rFonts w:ascii="Geneva" w:hAnsi="Geneva"/>
                <w:sz w:val="22"/>
                <w:lang w:bidi="x-none"/>
              </w:rPr>
            </w:pPr>
            <w:r w:rsidRPr="00FB00CA">
              <w:rPr>
                <w:rFonts w:ascii="Arial" w:hAnsi="Arial"/>
                <w:sz w:val="22"/>
                <w:lang w:bidi="x-none"/>
              </w:rPr>
              <w:t>48.8</w:t>
            </w:r>
          </w:p>
        </w:tc>
        <w:tc>
          <w:tcPr>
            <w:tcW w:w="1490" w:type="dxa"/>
            <w:tcBorders>
              <w:top w:val="nil"/>
              <w:left w:val="nil"/>
              <w:bottom w:val="nil"/>
              <w:right w:val="nil"/>
            </w:tcBorders>
            <w:shd w:val="clear" w:color="auto" w:fill="auto"/>
            <w:noWrap/>
            <w:vAlign w:val="bottom"/>
          </w:tcPr>
          <w:p w14:paraId="53B31C38" w14:textId="77777777" w:rsidR="00485F92" w:rsidRPr="00FB00CA" w:rsidRDefault="00485F92" w:rsidP="00485F92">
            <w:pPr>
              <w:jc w:val="center"/>
              <w:rPr>
                <w:rFonts w:ascii="Geneva" w:hAnsi="Geneva"/>
                <w:sz w:val="22"/>
                <w:lang w:bidi="x-none"/>
              </w:rPr>
            </w:pPr>
            <w:r w:rsidRPr="00FB00CA">
              <w:rPr>
                <w:rFonts w:ascii="Arial" w:hAnsi="Arial"/>
                <w:sz w:val="22"/>
                <w:lang w:bidi="x-none"/>
              </w:rPr>
              <w:t>55.8</w:t>
            </w:r>
          </w:p>
        </w:tc>
        <w:tc>
          <w:tcPr>
            <w:tcW w:w="1487" w:type="dxa"/>
            <w:tcBorders>
              <w:top w:val="nil"/>
              <w:left w:val="nil"/>
              <w:bottom w:val="nil"/>
              <w:right w:val="nil"/>
            </w:tcBorders>
            <w:shd w:val="clear" w:color="auto" w:fill="auto"/>
            <w:noWrap/>
            <w:vAlign w:val="bottom"/>
          </w:tcPr>
          <w:p w14:paraId="194E80BD" w14:textId="77777777" w:rsidR="00485F92" w:rsidRPr="00FB00CA" w:rsidRDefault="00485F92" w:rsidP="00485F92">
            <w:pPr>
              <w:jc w:val="center"/>
              <w:rPr>
                <w:rFonts w:ascii="Geneva" w:hAnsi="Geneva"/>
                <w:sz w:val="22"/>
                <w:lang w:bidi="x-none"/>
              </w:rPr>
            </w:pPr>
            <w:r w:rsidRPr="00FB00CA">
              <w:rPr>
                <w:rFonts w:ascii="Arial" w:hAnsi="Arial"/>
                <w:sz w:val="22"/>
                <w:lang w:bidi="x-none"/>
              </w:rPr>
              <w:t>29.8</w:t>
            </w:r>
          </w:p>
        </w:tc>
        <w:tc>
          <w:tcPr>
            <w:tcW w:w="645" w:type="dxa"/>
            <w:tcBorders>
              <w:top w:val="nil"/>
              <w:left w:val="nil"/>
              <w:bottom w:val="nil"/>
              <w:right w:val="nil"/>
            </w:tcBorders>
            <w:shd w:val="clear" w:color="auto" w:fill="auto"/>
            <w:noWrap/>
            <w:vAlign w:val="bottom"/>
          </w:tcPr>
          <w:p w14:paraId="73AD97D1" w14:textId="77777777" w:rsidR="00485F92" w:rsidRPr="00FB00CA" w:rsidRDefault="00485F92" w:rsidP="00485F92">
            <w:pPr>
              <w:jc w:val="center"/>
              <w:rPr>
                <w:rFonts w:ascii="Geneva" w:hAnsi="Geneva"/>
                <w:sz w:val="22"/>
                <w:lang w:bidi="x-none"/>
              </w:rPr>
            </w:pPr>
            <w:r w:rsidRPr="00FB00CA">
              <w:rPr>
                <w:rFonts w:ascii="Arial" w:hAnsi="Arial"/>
                <w:sz w:val="22"/>
                <w:lang w:bidi="x-none"/>
              </w:rPr>
              <w:t>8.6</w:t>
            </w:r>
          </w:p>
        </w:tc>
        <w:tc>
          <w:tcPr>
            <w:tcW w:w="1490" w:type="dxa"/>
            <w:tcBorders>
              <w:top w:val="nil"/>
              <w:left w:val="nil"/>
              <w:bottom w:val="nil"/>
              <w:right w:val="nil"/>
            </w:tcBorders>
            <w:shd w:val="clear" w:color="auto" w:fill="auto"/>
            <w:noWrap/>
            <w:vAlign w:val="bottom"/>
          </w:tcPr>
          <w:p w14:paraId="65A61FDD" w14:textId="77777777" w:rsidR="00485F92" w:rsidRPr="00FB00CA" w:rsidRDefault="00485F92" w:rsidP="00485F92">
            <w:pPr>
              <w:jc w:val="center"/>
              <w:rPr>
                <w:rFonts w:ascii="Geneva" w:hAnsi="Geneva"/>
                <w:sz w:val="22"/>
                <w:lang w:bidi="x-none"/>
              </w:rPr>
            </w:pPr>
            <w:r w:rsidRPr="00FB00CA">
              <w:rPr>
                <w:rFonts w:ascii="Arial" w:hAnsi="Arial"/>
                <w:sz w:val="22"/>
                <w:lang w:bidi="x-none"/>
              </w:rPr>
              <w:t>30.0</w:t>
            </w:r>
          </w:p>
        </w:tc>
      </w:tr>
      <w:tr w:rsidR="00485F92" w:rsidRPr="00FB00CA" w14:paraId="02FA613E" w14:textId="77777777">
        <w:trPr>
          <w:trHeight w:val="260"/>
        </w:trPr>
        <w:tc>
          <w:tcPr>
            <w:tcW w:w="2180" w:type="dxa"/>
            <w:tcBorders>
              <w:top w:val="nil"/>
              <w:left w:val="nil"/>
              <w:bottom w:val="nil"/>
              <w:right w:val="nil"/>
            </w:tcBorders>
            <w:shd w:val="clear" w:color="auto" w:fill="auto"/>
            <w:noWrap/>
            <w:vAlign w:val="bottom"/>
          </w:tcPr>
          <w:p w14:paraId="6694E1E0" w14:textId="77777777" w:rsidR="00485F92" w:rsidRPr="00FB00CA" w:rsidRDefault="00485F92" w:rsidP="00485F92">
            <w:pPr>
              <w:jc w:val="right"/>
              <w:rPr>
                <w:rFonts w:ascii="Geneva" w:hAnsi="Geneva"/>
                <w:sz w:val="22"/>
                <w:lang w:bidi="x-none"/>
              </w:rPr>
            </w:pPr>
            <w:r w:rsidRPr="00FB00CA">
              <w:rPr>
                <w:rFonts w:ascii="Arial" w:hAnsi="Arial"/>
                <w:sz w:val="22"/>
                <w:lang w:bidi="x-none"/>
              </w:rPr>
              <w:t>2010</w:t>
            </w:r>
          </w:p>
        </w:tc>
        <w:tc>
          <w:tcPr>
            <w:tcW w:w="1487" w:type="dxa"/>
            <w:tcBorders>
              <w:top w:val="nil"/>
              <w:left w:val="nil"/>
              <w:bottom w:val="nil"/>
              <w:right w:val="nil"/>
            </w:tcBorders>
            <w:shd w:val="clear" w:color="auto" w:fill="auto"/>
            <w:noWrap/>
            <w:vAlign w:val="bottom"/>
          </w:tcPr>
          <w:p w14:paraId="78AA4522" w14:textId="77777777" w:rsidR="00485F92" w:rsidRPr="00FB00CA" w:rsidRDefault="00485F92" w:rsidP="00485F92">
            <w:pPr>
              <w:jc w:val="center"/>
              <w:rPr>
                <w:rFonts w:ascii="Geneva" w:hAnsi="Geneva"/>
                <w:sz w:val="22"/>
                <w:lang w:bidi="x-none"/>
              </w:rPr>
            </w:pPr>
            <w:r w:rsidRPr="00FB00CA">
              <w:rPr>
                <w:rFonts w:ascii="Arial" w:hAnsi="Arial"/>
                <w:sz w:val="22"/>
                <w:lang w:bidi="x-none"/>
              </w:rPr>
              <w:t>39.6</w:t>
            </w:r>
          </w:p>
        </w:tc>
        <w:tc>
          <w:tcPr>
            <w:tcW w:w="645" w:type="dxa"/>
            <w:tcBorders>
              <w:top w:val="nil"/>
              <w:left w:val="nil"/>
              <w:bottom w:val="nil"/>
              <w:right w:val="nil"/>
            </w:tcBorders>
            <w:shd w:val="clear" w:color="auto" w:fill="auto"/>
            <w:noWrap/>
            <w:vAlign w:val="bottom"/>
          </w:tcPr>
          <w:p w14:paraId="372B25BC" w14:textId="77777777" w:rsidR="00485F92" w:rsidRPr="00FB00CA" w:rsidRDefault="00485F92" w:rsidP="00485F92">
            <w:pPr>
              <w:jc w:val="center"/>
              <w:rPr>
                <w:rFonts w:ascii="Geneva" w:hAnsi="Geneva"/>
                <w:sz w:val="22"/>
                <w:lang w:bidi="x-none"/>
              </w:rPr>
            </w:pPr>
            <w:r w:rsidRPr="00FB00CA">
              <w:rPr>
                <w:rFonts w:ascii="Arial" w:hAnsi="Arial"/>
                <w:sz w:val="22"/>
                <w:lang w:bidi="x-none"/>
              </w:rPr>
              <w:t>22.3</w:t>
            </w:r>
          </w:p>
        </w:tc>
        <w:tc>
          <w:tcPr>
            <w:tcW w:w="1490" w:type="dxa"/>
            <w:tcBorders>
              <w:top w:val="nil"/>
              <w:left w:val="nil"/>
              <w:bottom w:val="nil"/>
              <w:right w:val="nil"/>
            </w:tcBorders>
            <w:shd w:val="clear" w:color="auto" w:fill="auto"/>
            <w:noWrap/>
            <w:vAlign w:val="bottom"/>
          </w:tcPr>
          <w:p w14:paraId="0D5364DB" w14:textId="77777777" w:rsidR="00485F92" w:rsidRPr="00FB00CA" w:rsidRDefault="00485F92" w:rsidP="00485F92">
            <w:pPr>
              <w:jc w:val="center"/>
              <w:rPr>
                <w:rFonts w:ascii="Geneva" w:hAnsi="Geneva"/>
                <w:sz w:val="22"/>
                <w:lang w:bidi="x-none"/>
              </w:rPr>
            </w:pPr>
            <w:r w:rsidRPr="00FB00CA">
              <w:rPr>
                <w:rFonts w:ascii="Arial" w:hAnsi="Arial"/>
                <w:sz w:val="22"/>
                <w:lang w:bidi="x-none"/>
              </w:rPr>
              <w:t>27.2</w:t>
            </w:r>
          </w:p>
        </w:tc>
        <w:tc>
          <w:tcPr>
            <w:tcW w:w="1487" w:type="dxa"/>
            <w:tcBorders>
              <w:top w:val="nil"/>
              <w:left w:val="nil"/>
              <w:bottom w:val="nil"/>
              <w:right w:val="nil"/>
            </w:tcBorders>
            <w:shd w:val="clear" w:color="auto" w:fill="auto"/>
            <w:noWrap/>
            <w:vAlign w:val="bottom"/>
          </w:tcPr>
          <w:p w14:paraId="5350EAF1" w14:textId="77777777" w:rsidR="00485F92" w:rsidRPr="00FB00CA" w:rsidRDefault="00485F92" w:rsidP="00485F92">
            <w:pPr>
              <w:jc w:val="center"/>
              <w:rPr>
                <w:rFonts w:ascii="Geneva" w:hAnsi="Geneva"/>
                <w:sz w:val="22"/>
                <w:lang w:bidi="x-none"/>
              </w:rPr>
            </w:pPr>
            <w:r w:rsidRPr="00FB00CA">
              <w:rPr>
                <w:rFonts w:ascii="Arial" w:hAnsi="Arial"/>
                <w:sz w:val="22"/>
                <w:lang w:bidi="x-none"/>
              </w:rPr>
              <w:t>27.1</w:t>
            </w:r>
          </w:p>
        </w:tc>
        <w:tc>
          <w:tcPr>
            <w:tcW w:w="645" w:type="dxa"/>
            <w:tcBorders>
              <w:top w:val="nil"/>
              <w:left w:val="nil"/>
              <w:bottom w:val="nil"/>
              <w:right w:val="nil"/>
            </w:tcBorders>
            <w:shd w:val="clear" w:color="auto" w:fill="auto"/>
            <w:noWrap/>
            <w:vAlign w:val="bottom"/>
          </w:tcPr>
          <w:p w14:paraId="62520108" w14:textId="77777777" w:rsidR="00485F92" w:rsidRPr="00FB00CA" w:rsidRDefault="00485F92" w:rsidP="00485F92">
            <w:pPr>
              <w:jc w:val="center"/>
              <w:rPr>
                <w:rFonts w:ascii="Geneva" w:hAnsi="Geneva"/>
                <w:sz w:val="22"/>
                <w:lang w:bidi="x-none"/>
              </w:rPr>
            </w:pPr>
            <w:r w:rsidRPr="00FB00CA">
              <w:rPr>
                <w:rFonts w:ascii="Arial" w:hAnsi="Arial"/>
                <w:sz w:val="22"/>
                <w:lang w:bidi="x-none"/>
              </w:rPr>
              <w:t>13.3</w:t>
            </w:r>
          </w:p>
        </w:tc>
        <w:tc>
          <w:tcPr>
            <w:tcW w:w="1490" w:type="dxa"/>
            <w:tcBorders>
              <w:top w:val="nil"/>
              <w:left w:val="nil"/>
              <w:bottom w:val="nil"/>
              <w:right w:val="nil"/>
            </w:tcBorders>
            <w:shd w:val="clear" w:color="auto" w:fill="auto"/>
            <w:noWrap/>
            <w:vAlign w:val="bottom"/>
          </w:tcPr>
          <w:p w14:paraId="7EFE75CE" w14:textId="77777777" w:rsidR="00485F92" w:rsidRPr="00FB00CA" w:rsidRDefault="00485F92" w:rsidP="00485F92">
            <w:pPr>
              <w:jc w:val="center"/>
              <w:rPr>
                <w:rFonts w:ascii="Geneva" w:hAnsi="Geneva"/>
                <w:sz w:val="22"/>
                <w:lang w:bidi="x-none"/>
              </w:rPr>
            </w:pPr>
            <w:r w:rsidRPr="00FB00CA">
              <w:rPr>
                <w:rFonts w:ascii="Arial" w:hAnsi="Arial"/>
                <w:sz w:val="22"/>
                <w:lang w:bidi="x-none"/>
              </w:rPr>
              <w:t>23.6</w:t>
            </w:r>
          </w:p>
        </w:tc>
      </w:tr>
      <w:tr w:rsidR="00485F92" w:rsidRPr="00FB00CA" w14:paraId="4B83E0AE" w14:textId="77777777">
        <w:trPr>
          <w:trHeight w:val="260"/>
        </w:trPr>
        <w:tc>
          <w:tcPr>
            <w:tcW w:w="2180" w:type="dxa"/>
            <w:tcBorders>
              <w:top w:val="nil"/>
              <w:left w:val="nil"/>
              <w:bottom w:val="nil"/>
              <w:right w:val="nil"/>
            </w:tcBorders>
            <w:shd w:val="clear" w:color="auto" w:fill="auto"/>
            <w:noWrap/>
            <w:vAlign w:val="bottom"/>
          </w:tcPr>
          <w:p w14:paraId="5A712F4F" w14:textId="77777777" w:rsidR="00485F92" w:rsidRPr="00FB00CA" w:rsidRDefault="00485F92" w:rsidP="00485F92">
            <w:pPr>
              <w:jc w:val="right"/>
              <w:rPr>
                <w:rFonts w:ascii="Geneva" w:hAnsi="Geneva"/>
                <w:sz w:val="22"/>
                <w:lang w:bidi="x-none"/>
              </w:rPr>
            </w:pPr>
            <w:r w:rsidRPr="00FB00CA">
              <w:rPr>
                <w:rFonts w:ascii="Arial" w:hAnsi="Arial"/>
                <w:sz w:val="22"/>
                <w:lang w:bidi="x-none"/>
              </w:rPr>
              <w:t>2011</w:t>
            </w:r>
          </w:p>
        </w:tc>
        <w:tc>
          <w:tcPr>
            <w:tcW w:w="1487" w:type="dxa"/>
            <w:tcBorders>
              <w:top w:val="nil"/>
              <w:left w:val="nil"/>
              <w:bottom w:val="nil"/>
              <w:right w:val="nil"/>
            </w:tcBorders>
            <w:shd w:val="clear" w:color="auto" w:fill="auto"/>
            <w:noWrap/>
            <w:vAlign w:val="bottom"/>
          </w:tcPr>
          <w:p w14:paraId="4330D4D9" w14:textId="77777777" w:rsidR="00485F92" w:rsidRPr="00FB00CA" w:rsidRDefault="00485F92" w:rsidP="00485F92">
            <w:pPr>
              <w:jc w:val="center"/>
              <w:rPr>
                <w:rFonts w:ascii="Geneva" w:hAnsi="Geneva"/>
                <w:sz w:val="22"/>
                <w:lang w:bidi="x-none"/>
              </w:rPr>
            </w:pPr>
            <w:r w:rsidRPr="00FB00CA">
              <w:rPr>
                <w:rFonts w:ascii="Arial" w:hAnsi="Arial"/>
                <w:sz w:val="22"/>
                <w:lang w:bidi="x-none"/>
              </w:rPr>
              <w:t>23.2</w:t>
            </w:r>
          </w:p>
        </w:tc>
        <w:tc>
          <w:tcPr>
            <w:tcW w:w="645" w:type="dxa"/>
            <w:tcBorders>
              <w:top w:val="nil"/>
              <w:left w:val="nil"/>
              <w:bottom w:val="nil"/>
              <w:right w:val="nil"/>
            </w:tcBorders>
            <w:shd w:val="clear" w:color="auto" w:fill="auto"/>
            <w:noWrap/>
            <w:vAlign w:val="bottom"/>
          </w:tcPr>
          <w:p w14:paraId="43626FEF" w14:textId="77777777" w:rsidR="00485F92" w:rsidRPr="00FB00CA" w:rsidRDefault="00485F92" w:rsidP="00485F92">
            <w:pPr>
              <w:jc w:val="center"/>
              <w:rPr>
                <w:rFonts w:ascii="Geneva" w:hAnsi="Geneva"/>
                <w:sz w:val="22"/>
                <w:lang w:bidi="x-none"/>
              </w:rPr>
            </w:pPr>
            <w:r w:rsidRPr="00FB00CA">
              <w:rPr>
                <w:rFonts w:ascii="Arial" w:hAnsi="Arial"/>
                <w:sz w:val="22"/>
                <w:lang w:bidi="x-none"/>
              </w:rPr>
              <w:t>15.8</w:t>
            </w:r>
          </w:p>
        </w:tc>
        <w:tc>
          <w:tcPr>
            <w:tcW w:w="1490" w:type="dxa"/>
            <w:tcBorders>
              <w:top w:val="nil"/>
              <w:left w:val="nil"/>
              <w:bottom w:val="nil"/>
              <w:right w:val="nil"/>
            </w:tcBorders>
            <w:shd w:val="clear" w:color="auto" w:fill="auto"/>
            <w:noWrap/>
            <w:vAlign w:val="bottom"/>
          </w:tcPr>
          <w:p w14:paraId="326CFB44" w14:textId="77777777" w:rsidR="00485F92" w:rsidRPr="00FB00CA" w:rsidRDefault="00485F92" w:rsidP="00485F92">
            <w:pPr>
              <w:jc w:val="center"/>
              <w:rPr>
                <w:rFonts w:ascii="Geneva" w:hAnsi="Geneva"/>
                <w:sz w:val="22"/>
                <w:lang w:bidi="x-none"/>
              </w:rPr>
            </w:pPr>
            <w:r w:rsidRPr="00FB00CA">
              <w:rPr>
                <w:rFonts w:ascii="Arial" w:hAnsi="Arial"/>
                <w:sz w:val="22"/>
                <w:lang w:bidi="x-none"/>
              </w:rPr>
              <w:t>21.7</w:t>
            </w:r>
          </w:p>
        </w:tc>
        <w:tc>
          <w:tcPr>
            <w:tcW w:w="1487" w:type="dxa"/>
            <w:tcBorders>
              <w:top w:val="nil"/>
              <w:left w:val="nil"/>
              <w:bottom w:val="nil"/>
              <w:right w:val="nil"/>
            </w:tcBorders>
            <w:shd w:val="clear" w:color="auto" w:fill="auto"/>
            <w:noWrap/>
            <w:vAlign w:val="bottom"/>
          </w:tcPr>
          <w:p w14:paraId="19F03892" w14:textId="77777777" w:rsidR="00485F92" w:rsidRPr="00FB00CA" w:rsidRDefault="00485F92" w:rsidP="00485F92">
            <w:pPr>
              <w:jc w:val="center"/>
              <w:rPr>
                <w:rFonts w:ascii="Geneva" w:hAnsi="Geneva"/>
                <w:sz w:val="22"/>
                <w:lang w:bidi="x-none"/>
              </w:rPr>
            </w:pPr>
            <w:r w:rsidRPr="00FB00CA">
              <w:rPr>
                <w:rFonts w:ascii="Arial" w:hAnsi="Arial"/>
                <w:sz w:val="22"/>
                <w:lang w:bidi="x-none"/>
              </w:rPr>
              <w:t>53.5</w:t>
            </w:r>
          </w:p>
        </w:tc>
        <w:tc>
          <w:tcPr>
            <w:tcW w:w="645" w:type="dxa"/>
            <w:tcBorders>
              <w:top w:val="nil"/>
              <w:left w:val="nil"/>
              <w:bottom w:val="nil"/>
              <w:right w:val="nil"/>
            </w:tcBorders>
            <w:shd w:val="clear" w:color="auto" w:fill="auto"/>
            <w:noWrap/>
            <w:vAlign w:val="bottom"/>
          </w:tcPr>
          <w:p w14:paraId="2FB6FCDA" w14:textId="77777777" w:rsidR="00485F92" w:rsidRPr="00FB00CA" w:rsidRDefault="00485F92" w:rsidP="00485F92">
            <w:pPr>
              <w:jc w:val="center"/>
              <w:rPr>
                <w:rFonts w:ascii="Geneva" w:hAnsi="Geneva"/>
                <w:sz w:val="22"/>
                <w:lang w:bidi="x-none"/>
              </w:rPr>
            </w:pPr>
            <w:r w:rsidRPr="00FB00CA">
              <w:rPr>
                <w:rFonts w:ascii="Arial" w:hAnsi="Arial"/>
                <w:sz w:val="22"/>
                <w:lang w:bidi="x-none"/>
              </w:rPr>
              <w:t>37.2</w:t>
            </w:r>
          </w:p>
        </w:tc>
        <w:tc>
          <w:tcPr>
            <w:tcW w:w="1490" w:type="dxa"/>
            <w:tcBorders>
              <w:top w:val="nil"/>
              <w:left w:val="nil"/>
              <w:bottom w:val="nil"/>
              <w:right w:val="nil"/>
            </w:tcBorders>
            <w:shd w:val="clear" w:color="auto" w:fill="auto"/>
            <w:noWrap/>
            <w:vAlign w:val="bottom"/>
          </w:tcPr>
          <w:p w14:paraId="1A0EF96F" w14:textId="77777777" w:rsidR="00485F92" w:rsidRPr="00FB00CA" w:rsidRDefault="00485F92" w:rsidP="00485F92">
            <w:pPr>
              <w:jc w:val="center"/>
              <w:rPr>
                <w:rFonts w:ascii="Geneva" w:hAnsi="Geneva"/>
                <w:sz w:val="22"/>
                <w:lang w:bidi="x-none"/>
              </w:rPr>
            </w:pPr>
            <w:r w:rsidRPr="00FB00CA">
              <w:rPr>
                <w:rFonts w:ascii="Arial" w:hAnsi="Arial"/>
                <w:sz w:val="22"/>
                <w:lang w:bidi="x-none"/>
              </w:rPr>
              <w:t>40.3</w:t>
            </w:r>
          </w:p>
        </w:tc>
      </w:tr>
      <w:tr w:rsidR="00485F92" w:rsidRPr="00FB00CA" w14:paraId="3D456451" w14:textId="77777777">
        <w:trPr>
          <w:trHeight w:val="260"/>
        </w:trPr>
        <w:tc>
          <w:tcPr>
            <w:tcW w:w="2180" w:type="dxa"/>
            <w:tcBorders>
              <w:top w:val="nil"/>
              <w:left w:val="nil"/>
              <w:bottom w:val="nil"/>
              <w:right w:val="nil"/>
            </w:tcBorders>
            <w:shd w:val="clear" w:color="auto" w:fill="auto"/>
            <w:noWrap/>
            <w:vAlign w:val="bottom"/>
          </w:tcPr>
          <w:p w14:paraId="1D4F4662" w14:textId="77777777" w:rsidR="00485F92" w:rsidRPr="00FB00CA" w:rsidRDefault="00485F92" w:rsidP="00485F92">
            <w:pPr>
              <w:rPr>
                <w:rFonts w:ascii="Geneva" w:hAnsi="Geneva"/>
                <w:sz w:val="22"/>
                <w:lang w:bidi="x-none"/>
              </w:rPr>
            </w:pPr>
            <w:r w:rsidRPr="00FB00CA">
              <w:rPr>
                <w:rFonts w:ascii="Arial" w:hAnsi="Arial"/>
                <w:sz w:val="22"/>
                <w:lang w:bidi="x-none"/>
              </w:rPr>
              <w:t>%MeHg</w:t>
            </w:r>
          </w:p>
        </w:tc>
        <w:tc>
          <w:tcPr>
            <w:tcW w:w="1487" w:type="dxa"/>
            <w:tcBorders>
              <w:top w:val="nil"/>
              <w:left w:val="nil"/>
              <w:bottom w:val="nil"/>
              <w:right w:val="nil"/>
            </w:tcBorders>
            <w:shd w:val="clear" w:color="auto" w:fill="auto"/>
            <w:noWrap/>
            <w:vAlign w:val="bottom"/>
          </w:tcPr>
          <w:p w14:paraId="054BE8E9" w14:textId="77777777" w:rsidR="00485F92" w:rsidRPr="00FB00CA" w:rsidRDefault="00485F92" w:rsidP="00485F92">
            <w:pPr>
              <w:jc w:val="center"/>
              <w:rPr>
                <w:rFonts w:ascii="Geneva" w:hAnsi="Geneva"/>
                <w:sz w:val="22"/>
                <w:lang w:bidi="x-none"/>
              </w:rPr>
            </w:pPr>
          </w:p>
        </w:tc>
        <w:tc>
          <w:tcPr>
            <w:tcW w:w="645" w:type="dxa"/>
            <w:tcBorders>
              <w:top w:val="nil"/>
              <w:left w:val="nil"/>
              <w:bottom w:val="nil"/>
              <w:right w:val="nil"/>
            </w:tcBorders>
            <w:shd w:val="clear" w:color="auto" w:fill="auto"/>
            <w:noWrap/>
            <w:vAlign w:val="bottom"/>
          </w:tcPr>
          <w:p w14:paraId="4C32D4D0" w14:textId="77777777" w:rsidR="00485F92" w:rsidRPr="00FB00CA" w:rsidRDefault="00485F92" w:rsidP="00485F92">
            <w:pPr>
              <w:jc w:val="center"/>
              <w:rPr>
                <w:rFonts w:ascii="Geneva" w:hAnsi="Geneva"/>
                <w:sz w:val="22"/>
                <w:lang w:bidi="x-none"/>
              </w:rPr>
            </w:pPr>
          </w:p>
        </w:tc>
        <w:tc>
          <w:tcPr>
            <w:tcW w:w="1490" w:type="dxa"/>
            <w:tcBorders>
              <w:top w:val="nil"/>
              <w:left w:val="nil"/>
              <w:bottom w:val="nil"/>
              <w:right w:val="nil"/>
            </w:tcBorders>
            <w:shd w:val="clear" w:color="auto" w:fill="auto"/>
            <w:noWrap/>
            <w:vAlign w:val="bottom"/>
          </w:tcPr>
          <w:p w14:paraId="551B02CF" w14:textId="77777777" w:rsidR="00485F92" w:rsidRPr="00FB00CA" w:rsidRDefault="00485F92" w:rsidP="00485F92">
            <w:pPr>
              <w:jc w:val="center"/>
              <w:rPr>
                <w:rFonts w:ascii="Geneva" w:hAnsi="Geneva"/>
                <w:sz w:val="22"/>
                <w:lang w:bidi="x-none"/>
              </w:rPr>
            </w:pPr>
          </w:p>
        </w:tc>
        <w:tc>
          <w:tcPr>
            <w:tcW w:w="1487" w:type="dxa"/>
            <w:tcBorders>
              <w:top w:val="nil"/>
              <w:left w:val="nil"/>
              <w:bottom w:val="nil"/>
              <w:right w:val="nil"/>
            </w:tcBorders>
            <w:shd w:val="clear" w:color="auto" w:fill="auto"/>
            <w:noWrap/>
            <w:vAlign w:val="bottom"/>
          </w:tcPr>
          <w:p w14:paraId="08479179" w14:textId="77777777" w:rsidR="00485F92" w:rsidRPr="00FB00CA" w:rsidRDefault="00485F92" w:rsidP="00485F92">
            <w:pPr>
              <w:jc w:val="center"/>
              <w:rPr>
                <w:rFonts w:ascii="Geneva" w:hAnsi="Geneva"/>
                <w:sz w:val="22"/>
                <w:lang w:bidi="x-none"/>
              </w:rPr>
            </w:pPr>
          </w:p>
        </w:tc>
        <w:tc>
          <w:tcPr>
            <w:tcW w:w="645" w:type="dxa"/>
            <w:tcBorders>
              <w:top w:val="nil"/>
              <w:left w:val="nil"/>
              <w:bottom w:val="nil"/>
              <w:right w:val="nil"/>
            </w:tcBorders>
            <w:shd w:val="clear" w:color="auto" w:fill="auto"/>
            <w:noWrap/>
            <w:vAlign w:val="bottom"/>
          </w:tcPr>
          <w:p w14:paraId="3CA4935E" w14:textId="77777777" w:rsidR="00485F92" w:rsidRPr="00FB00CA" w:rsidRDefault="00485F92" w:rsidP="00485F92">
            <w:pPr>
              <w:jc w:val="center"/>
              <w:rPr>
                <w:rFonts w:ascii="Geneva" w:hAnsi="Geneva"/>
                <w:sz w:val="22"/>
                <w:lang w:bidi="x-none"/>
              </w:rPr>
            </w:pPr>
          </w:p>
        </w:tc>
        <w:tc>
          <w:tcPr>
            <w:tcW w:w="1490" w:type="dxa"/>
            <w:tcBorders>
              <w:top w:val="nil"/>
              <w:left w:val="nil"/>
              <w:bottom w:val="nil"/>
              <w:right w:val="nil"/>
            </w:tcBorders>
            <w:shd w:val="clear" w:color="auto" w:fill="auto"/>
            <w:noWrap/>
            <w:vAlign w:val="bottom"/>
          </w:tcPr>
          <w:p w14:paraId="10B650C6" w14:textId="77777777" w:rsidR="00485F92" w:rsidRPr="00FB00CA" w:rsidRDefault="00485F92" w:rsidP="00485F92">
            <w:pPr>
              <w:jc w:val="center"/>
              <w:rPr>
                <w:rFonts w:ascii="Geneva" w:hAnsi="Geneva"/>
                <w:sz w:val="22"/>
                <w:lang w:bidi="x-none"/>
              </w:rPr>
            </w:pPr>
          </w:p>
        </w:tc>
      </w:tr>
      <w:tr w:rsidR="00485F92" w:rsidRPr="00FB00CA" w14:paraId="4A28BAC0" w14:textId="77777777">
        <w:trPr>
          <w:trHeight w:val="260"/>
        </w:trPr>
        <w:tc>
          <w:tcPr>
            <w:tcW w:w="2180" w:type="dxa"/>
            <w:tcBorders>
              <w:top w:val="nil"/>
              <w:left w:val="nil"/>
              <w:bottom w:val="nil"/>
              <w:right w:val="nil"/>
            </w:tcBorders>
            <w:shd w:val="clear" w:color="auto" w:fill="auto"/>
            <w:noWrap/>
            <w:vAlign w:val="bottom"/>
          </w:tcPr>
          <w:p w14:paraId="2A264D98" w14:textId="77777777" w:rsidR="00485F92" w:rsidRPr="00FB00CA" w:rsidRDefault="00485F92" w:rsidP="00485F92">
            <w:pPr>
              <w:jc w:val="right"/>
              <w:rPr>
                <w:rFonts w:ascii="Geneva" w:hAnsi="Geneva"/>
                <w:sz w:val="22"/>
                <w:lang w:bidi="x-none"/>
              </w:rPr>
            </w:pPr>
            <w:r w:rsidRPr="00FB00CA">
              <w:rPr>
                <w:rFonts w:ascii="Arial" w:hAnsi="Arial"/>
                <w:sz w:val="22"/>
                <w:lang w:bidi="x-none"/>
              </w:rPr>
              <w:t>2009</w:t>
            </w:r>
          </w:p>
        </w:tc>
        <w:tc>
          <w:tcPr>
            <w:tcW w:w="1487" w:type="dxa"/>
            <w:tcBorders>
              <w:top w:val="nil"/>
              <w:left w:val="nil"/>
              <w:bottom w:val="nil"/>
              <w:right w:val="nil"/>
            </w:tcBorders>
            <w:shd w:val="clear" w:color="auto" w:fill="auto"/>
            <w:noWrap/>
            <w:vAlign w:val="bottom"/>
          </w:tcPr>
          <w:p w14:paraId="1A7B95B7" w14:textId="77777777" w:rsidR="00485F92" w:rsidRPr="00FB00CA" w:rsidRDefault="00485F92" w:rsidP="00485F92">
            <w:pPr>
              <w:jc w:val="center"/>
              <w:rPr>
                <w:rFonts w:ascii="Geneva" w:hAnsi="Geneva"/>
                <w:sz w:val="22"/>
                <w:lang w:bidi="x-none"/>
              </w:rPr>
            </w:pPr>
            <w:r w:rsidRPr="00FB00CA">
              <w:rPr>
                <w:rFonts w:ascii="Arial" w:hAnsi="Arial"/>
                <w:sz w:val="22"/>
                <w:lang w:bidi="x-none"/>
              </w:rPr>
              <w:t>72.1</w:t>
            </w:r>
          </w:p>
        </w:tc>
        <w:tc>
          <w:tcPr>
            <w:tcW w:w="645" w:type="dxa"/>
            <w:tcBorders>
              <w:top w:val="nil"/>
              <w:left w:val="nil"/>
              <w:bottom w:val="nil"/>
              <w:right w:val="nil"/>
            </w:tcBorders>
            <w:shd w:val="clear" w:color="auto" w:fill="auto"/>
            <w:noWrap/>
            <w:vAlign w:val="bottom"/>
          </w:tcPr>
          <w:p w14:paraId="122B4AA0" w14:textId="77777777" w:rsidR="00485F92" w:rsidRPr="00FB00CA" w:rsidRDefault="00485F92" w:rsidP="00485F92">
            <w:pPr>
              <w:jc w:val="center"/>
              <w:rPr>
                <w:rFonts w:ascii="Geneva" w:hAnsi="Geneva"/>
                <w:sz w:val="22"/>
                <w:lang w:bidi="x-none"/>
              </w:rPr>
            </w:pPr>
            <w:r w:rsidRPr="00FB00CA">
              <w:rPr>
                <w:rFonts w:ascii="Arial" w:hAnsi="Arial"/>
                <w:sz w:val="22"/>
                <w:lang w:bidi="x-none"/>
              </w:rPr>
              <w:t>31.3</w:t>
            </w:r>
          </w:p>
        </w:tc>
        <w:tc>
          <w:tcPr>
            <w:tcW w:w="1490" w:type="dxa"/>
            <w:tcBorders>
              <w:top w:val="nil"/>
              <w:left w:val="nil"/>
              <w:bottom w:val="nil"/>
              <w:right w:val="nil"/>
            </w:tcBorders>
            <w:shd w:val="clear" w:color="auto" w:fill="auto"/>
            <w:noWrap/>
            <w:vAlign w:val="bottom"/>
          </w:tcPr>
          <w:p w14:paraId="21DA97FF" w14:textId="77777777" w:rsidR="00485F92" w:rsidRPr="00FB00CA" w:rsidRDefault="00485F92" w:rsidP="00485F92">
            <w:pPr>
              <w:jc w:val="center"/>
              <w:rPr>
                <w:rFonts w:ascii="Geneva" w:hAnsi="Geneva"/>
                <w:sz w:val="22"/>
                <w:lang w:bidi="x-none"/>
              </w:rPr>
            </w:pPr>
            <w:r w:rsidRPr="00FB00CA">
              <w:rPr>
                <w:rFonts w:ascii="Arial" w:hAnsi="Arial"/>
                <w:sz w:val="22"/>
                <w:lang w:bidi="x-none"/>
              </w:rPr>
              <w:t>77.4</w:t>
            </w:r>
          </w:p>
        </w:tc>
        <w:tc>
          <w:tcPr>
            <w:tcW w:w="1487" w:type="dxa"/>
            <w:tcBorders>
              <w:top w:val="nil"/>
              <w:left w:val="nil"/>
              <w:bottom w:val="nil"/>
              <w:right w:val="nil"/>
            </w:tcBorders>
            <w:shd w:val="clear" w:color="auto" w:fill="auto"/>
            <w:noWrap/>
            <w:vAlign w:val="bottom"/>
          </w:tcPr>
          <w:p w14:paraId="5A05CA22" w14:textId="77777777" w:rsidR="00485F92" w:rsidRPr="00FB00CA" w:rsidRDefault="00485F92" w:rsidP="00485F92">
            <w:pPr>
              <w:jc w:val="center"/>
              <w:rPr>
                <w:rFonts w:ascii="Geneva" w:hAnsi="Geneva"/>
                <w:sz w:val="22"/>
                <w:lang w:bidi="x-none"/>
              </w:rPr>
            </w:pPr>
            <w:r w:rsidRPr="00FB00CA">
              <w:rPr>
                <w:rFonts w:ascii="Arial" w:hAnsi="Arial"/>
                <w:sz w:val="22"/>
                <w:lang w:bidi="x-none"/>
              </w:rPr>
              <w:t>70.7</w:t>
            </w:r>
          </w:p>
        </w:tc>
        <w:tc>
          <w:tcPr>
            <w:tcW w:w="645" w:type="dxa"/>
            <w:tcBorders>
              <w:top w:val="nil"/>
              <w:left w:val="nil"/>
              <w:bottom w:val="nil"/>
              <w:right w:val="nil"/>
            </w:tcBorders>
            <w:shd w:val="clear" w:color="auto" w:fill="auto"/>
            <w:noWrap/>
            <w:vAlign w:val="bottom"/>
          </w:tcPr>
          <w:p w14:paraId="2B28528B" w14:textId="77777777" w:rsidR="00485F92" w:rsidRPr="00FB00CA" w:rsidRDefault="00485F92" w:rsidP="00485F92">
            <w:pPr>
              <w:jc w:val="center"/>
              <w:rPr>
                <w:rFonts w:ascii="Geneva" w:hAnsi="Geneva"/>
                <w:sz w:val="22"/>
                <w:lang w:bidi="x-none"/>
              </w:rPr>
            </w:pPr>
            <w:r w:rsidRPr="00FB00CA">
              <w:rPr>
                <w:rFonts w:ascii="Arial" w:hAnsi="Arial"/>
                <w:sz w:val="22"/>
                <w:lang w:bidi="x-none"/>
              </w:rPr>
              <w:t>24.1</w:t>
            </w:r>
          </w:p>
        </w:tc>
        <w:tc>
          <w:tcPr>
            <w:tcW w:w="1490" w:type="dxa"/>
            <w:tcBorders>
              <w:top w:val="nil"/>
              <w:left w:val="nil"/>
              <w:bottom w:val="nil"/>
              <w:right w:val="nil"/>
            </w:tcBorders>
            <w:shd w:val="clear" w:color="auto" w:fill="auto"/>
            <w:noWrap/>
            <w:vAlign w:val="bottom"/>
          </w:tcPr>
          <w:p w14:paraId="44F37051" w14:textId="77777777" w:rsidR="00485F92" w:rsidRPr="00FB00CA" w:rsidRDefault="00485F92" w:rsidP="00485F92">
            <w:pPr>
              <w:jc w:val="center"/>
              <w:rPr>
                <w:rFonts w:ascii="Geneva" w:hAnsi="Geneva"/>
                <w:sz w:val="22"/>
                <w:lang w:bidi="x-none"/>
              </w:rPr>
            </w:pPr>
            <w:r w:rsidRPr="00FB00CA">
              <w:rPr>
                <w:rFonts w:ascii="Arial" w:hAnsi="Arial"/>
                <w:sz w:val="22"/>
                <w:lang w:bidi="x-none"/>
              </w:rPr>
              <w:t>73.7</w:t>
            </w:r>
          </w:p>
        </w:tc>
      </w:tr>
      <w:tr w:rsidR="00485F92" w:rsidRPr="00FB00CA" w14:paraId="7DC6AFCC" w14:textId="77777777">
        <w:trPr>
          <w:trHeight w:val="260"/>
        </w:trPr>
        <w:tc>
          <w:tcPr>
            <w:tcW w:w="2180" w:type="dxa"/>
            <w:tcBorders>
              <w:top w:val="nil"/>
              <w:left w:val="nil"/>
              <w:bottom w:val="nil"/>
              <w:right w:val="nil"/>
            </w:tcBorders>
            <w:shd w:val="clear" w:color="auto" w:fill="auto"/>
            <w:noWrap/>
            <w:vAlign w:val="bottom"/>
          </w:tcPr>
          <w:p w14:paraId="17914419" w14:textId="77777777" w:rsidR="00485F92" w:rsidRPr="00FB00CA" w:rsidRDefault="00485F92" w:rsidP="00485F92">
            <w:pPr>
              <w:jc w:val="right"/>
              <w:rPr>
                <w:rFonts w:ascii="Geneva" w:hAnsi="Geneva"/>
                <w:sz w:val="22"/>
                <w:lang w:bidi="x-none"/>
              </w:rPr>
            </w:pPr>
            <w:r w:rsidRPr="00FB00CA">
              <w:rPr>
                <w:rFonts w:ascii="Arial" w:hAnsi="Arial"/>
                <w:sz w:val="22"/>
                <w:lang w:bidi="x-none"/>
              </w:rPr>
              <w:t>2010</w:t>
            </w:r>
          </w:p>
        </w:tc>
        <w:tc>
          <w:tcPr>
            <w:tcW w:w="1487" w:type="dxa"/>
            <w:tcBorders>
              <w:top w:val="nil"/>
              <w:left w:val="nil"/>
              <w:bottom w:val="nil"/>
              <w:right w:val="nil"/>
            </w:tcBorders>
            <w:shd w:val="clear" w:color="auto" w:fill="auto"/>
            <w:noWrap/>
            <w:vAlign w:val="bottom"/>
          </w:tcPr>
          <w:p w14:paraId="3AEE3F96" w14:textId="77777777" w:rsidR="00485F92" w:rsidRPr="00FB00CA" w:rsidRDefault="00485F92" w:rsidP="00485F92">
            <w:pPr>
              <w:jc w:val="center"/>
              <w:rPr>
                <w:rFonts w:ascii="Geneva" w:hAnsi="Geneva"/>
                <w:sz w:val="22"/>
                <w:lang w:bidi="x-none"/>
              </w:rPr>
            </w:pPr>
            <w:r w:rsidRPr="00FB00CA">
              <w:rPr>
                <w:rFonts w:ascii="Arial" w:hAnsi="Arial"/>
                <w:sz w:val="22"/>
                <w:lang w:bidi="x-none"/>
              </w:rPr>
              <w:t>81.9</w:t>
            </w:r>
          </w:p>
        </w:tc>
        <w:tc>
          <w:tcPr>
            <w:tcW w:w="645" w:type="dxa"/>
            <w:tcBorders>
              <w:top w:val="nil"/>
              <w:left w:val="nil"/>
              <w:bottom w:val="nil"/>
              <w:right w:val="nil"/>
            </w:tcBorders>
            <w:shd w:val="clear" w:color="auto" w:fill="auto"/>
            <w:noWrap/>
            <w:vAlign w:val="bottom"/>
          </w:tcPr>
          <w:p w14:paraId="610A226D" w14:textId="77777777" w:rsidR="00485F92" w:rsidRPr="00FB00CA" w:rsidRDefault="00485F92" w:rsidP="00485F92">
            <w:pPr>
              <w:jc w:val="center"/>
              <w:rPr>
                <w:rFonts w:ascii="Geneva" w:hAnsi="Geneva"/>
                <w:sz w:val="22"/>
                <w:lang w:bidi="x-none"/>
              </w:rPr>
            </w:pPr>
            <w:r w:rsidRPr="00FB00CA">
              <w:rPr>
                <w:rFonts w:ascii="Arial" w:hAnsi="Arial"/>
                <w:sz w:val="22"/>
                <w:lang w:bidi="x-none"/>
              </w:rPr>
              <w:t>7.5</w:t>
            </w:r>
          </w:p>
        </w:tc>
        <w:tc>
          <w:tcPr>
            <w:tcW w:w="1490" w:type="dxa"/>
            <w:tcBorders>
              <w:top w:val="nil"/>
              <w:left w:val="nil"/>
              <w:bottom w:val="nil"/>
              <w:right w:val="nil"/>
            </w:tcBorders>
            <w:shd w:val="clear" w:color="auto" w:fill="auto"/>
            <w:noWrap/>
            <w:vAlign w:val="bottom"/>
          </w:tcPr>
          <w:p w14:paraId="5CD78DA2" w14:textId="77777777" w:rsidR="00485F92" w:rsidRPr="00FB00CA" w:rsidRDefault="00485F92" w:rsidP="00485F92">
            <w:pPr>
              <w:jc w:val="center"/>
              <w:rPr>
                <w:rFonts w:ascii="Geneva" w:hAnsi="Geneva"/>
                <w:sz w:val="22"/>
                <w:lang w:bidi="x-none"/>
              </w:rPr>
            </w:pPr>
            <w:r w:rsidRPr="00FB00CA">
              <w:rPr>
                <w:rFonts w:ascii="Arial" w:hAnsi="Arial"/>
                <w:sz w:val="22"/>
                <w:lang w:bidi="x-none"/>
              </w:rPr>
              <w:t>84.9</w:t>
            </w:r>
          </w:p>
        </w:tc>
        <w:tc>
          <w:tcPr>
            <w:tcW w:w="1487" w:type="dxa"/>
            <w:tcBorders>
              <w:top w:val="nil"/>
              <w:left w:val="nil"/>
              <w:bottom w:val="nil"/>
              <w:right w:val="nil"/>
            </w:tcBorders>
            <w:shd w:val="clear" w:color="auto" w:fill="auto"/>
            <w:noWrap/>
            <w:vAlign w:val="bottom"/>
          </w:tcPr>
          <w:p w14:paraId="5461581E" w14:textId="77777777" w:rsidR="00485F92" w:rsidRPr="00FB00CA" w:rsidRDefault="00485F92" w:rsidP="00485F92">
            <w:pPr>
              <w:jc w:val="center"/>
              <w:rPr>
                <w:rFonts w:ascii="Geneva" w:hAnsi="Geneva"/>
                <w:sz w:val="22"/>
                <w:lang w:bidi="x-none"/>
              </w:rPr>
            </w:pPr>
            <w:r w:rsidRPr="00FB00CA">
              <w:rPr>
                <w:rFonts w:ascii="Arial" w:hAnsi="Arial"/>
                <w:sz w:val="22"/>
                <w:lang w:bidi="x-none"/>
              </w:rPr>
              <w:t>94.5</w:t>
            </w:r>
          </w:p>
        </w:tc>
        <w:tc>
          <w:tcPr>
            <w:tcW w:w="645" w:type="dxa"/>
            <w:tcBorders>
              <w:top w:val="nil"/>
              <w:left w:val="nil"/>
              <w:bottom w:val="nil"/>
              <w:right w:val="nil"/>
            </w:tcBorders>
            <w:shd w:val="clear" w:color="auto" w:fill="auto"/>
            <w:noWrap/>
            <w:vAlign w:val="bottom"/>
          </w:tcPr>
          <w:p w14:paraId="357E4FB0" w14:textId="77777777" w:rsidR="00485F92" w:rsidRPr="00FB00CA" w:rsidRDefault="00485F92" w:rsidP="00485F92">
            <w:pPr>
              <w:jc w:val="center"/>
              <w:rPr>
                <w:rFonts w:ascii="Geneva" w:hAnsi="Geneva"/>
                <w:sz w:val="22"/>
                <w:lang w:bidi="x-none"/>
              </w:rPr>
            </w:pPr>
            <w:r w:rsidRPr="00FB00CA">
              <w:rPr>
                <w:rFonts w:ascii="Arial" w:hAnsi="Arial"/>
                <w:sz w:val="22"/>
                <w:lang w:bidi="x-none"/>
              </w:rPr>
              <w:t>19.0</w:t>
            </w:r>
          </w:p>
        </w:tc>
        <w:tc>
          <w:tcPr>
            <w:tcW w:w="1490" w:type="dxa"/>
            <w:tcBorders>
              <w:top w:val="nil"/>
              <w:left w:val="nil"/>
              <w:bottom w:val="nil"/>
              <w:right w:val="nil"/>
            </w:tcBorders>
            <w:shd w:val="clear" w:color="auto" w:fill="auto"/>
            <w:noWrap/>
            <w:vAlign w:val="bottom"/>
          </w:tcPr>
          <w:p w14:paraId="49C3F624" w14:textId="77777777" w:rsidR="00485F92" w:rsidRPr="00FB00CA" w:rsidRDefault="00485F92" w:rsidP="00485F92">
            <w:pPr>
              <w:jc w:val="center"/>
              <w:rPr>
                <w:rFonts w:ascii="Geneva" w:hAnsi="Geneva"/>
                <w:sz w:val="22"/>
                <w:lang w:bidi="x-none"/>
              </w:rPr>
            </w:pPr>
            <w:r w:rsidRPr="00FB00CA">
              <w:rPr>
                <w:rFonts w:ascii="Arial" w:hAnsi="Arial"/>
                <w:sz w:val="22"/>
                <w:lang w:bidi="x-none"/>
              </w:rPr>
              <w:t>95.5</w:t>
            </w:r>
          </w:p>
        </w:tc>
      </w:tr>
      <w:tr w:rsidR="00485F92" w:rsidRPr="00FB00CA" w14:paraId="1DEA2052" w14:textId="77777777">
        <w:trPr>
          <w:trHeight w:val="260"/>
        </w:trPr>
        <w:tc>
          <w:tcPr>
            <w:tcW w:w="2180" w:type="dxa"/>
            <w:tcBorders>
              <w:top w:val="nil"/>
              <w:left w:val="nil"/>
              <w:bottom w:val="nil"/>
              <w:right w:val="nil"/>
            </w:tcBorders>
            <w:shd w:val="clear" w:color="auto" w:fill="auto"/>
            <w:noWrap/>
            <w:vAlign w:val="bottom"/>
          </w:tcPr>
          <w:p w14:paraId="4A531474" w14:textId="77777777" w:rsidR="00485F92" w:rsidRPr="00FB00CA" w:rsidRDefault="00485F92" w:rsidP="00485F92">
            <w:pPr>
              <w:jc w:val="right"/>
              <w:rPr>
                <w:rFonts w:ascii="Geneva" w:hAnsi="Geneva"/>
                <w:sz w:val="22"/>
                <w:lang w:bidi="x-none"/>
              </w:rPr>
            </w:pPr>
            <w:r w:rsidRPr="00FB00CA">
              <w:rPr>
                <w:rFonts w:ascii="Arial" w:hAnsi="Arial"/>
                <w:sz w:val="22"/>
                <w:lang w:bidi="x-none"/>
              </w:rPr>
              <w:t>2011</w:t>
            </w:r>
          </w:p>
        </w:tc>
        <w:tc>
          <w:tcPr>
            <w:tcW w:w="1487" w:type="dxa"/>
            <w:tcBorders>
              <w:top w:val="nil"/>
              <w:left w:val="nil"/>
              <w:bottom w:val="nil"/>
              <w:right w:val="nil"/>
            </w:tcBorders>
            <w:shd w:val="clear" w:color="auto" w:fill="auto"/>
            <w:noWrap/>
            <w:vAlign w:val="bottom"/>
          </w:tcPr>
          <w:p w14:paraId="70447CFB" w14:textId="77777777" w:rsidR="00485F92" w:rsidRPr="00FB00CA" w:rsidRDefault="00485F92" w:rsidP="00485F92">
            <w:pPr>
              <w:jc w:val="center"/>
              <w:rPr>
                <w:rFonts w:ascii="Geneva" w:hAnsi="Geneva"/>
                <w:sz w:val="22"/>
                <w:lang w:bidi="x-none"/>
              </w:rPr>
            </w:pPr>
            <w:r w:rsidRPr="00FB00CA">
              <w:rPr>
                <w:rFonts w:ascii="Arial" w:hAnsi="Arial"/>
                <w:sz w:val="22"/>
                <w:lang w:bidi="x-none"/>
              </w:rPr>
              <w:t>62.6</w:t>
            </w:r>
          </w:p>
        </w:tc>
        <w:tc>
          <w:tcPr>
            <w:tcW w:w="645" w:type="dxa"/>
            <w:tcBorders>
              <w:top w:val="nil"/>
              <w:left w:val="nil"/>
              <w:bottom w:val="nil"/>
              <w:right w:val="nil"/>
            </w:tcBorders>
            <w:shd w:val="clear" w:color="auto" w:fill="auto"/>
            <w:noWrap/>
            <w:vAlign w:val="bottom"/>
          </w:tcPr>
          <w:p w14:paraId="0E7B9708" w14:textId="77777777" w:rsidR="00485F92" w:rsidRPr="00FB00CA" w:rsidRDefault="00485F92" w:rsidP="00485F92">
            <w:pPr>
              <w:jc w:val="center"/>
              <w:rPr>
                <w:rFonts w:ascii="Geneva" w:hAnsi="Geneva"/>
                <w:sz w:val="22"/>
                <w:lang w:bidi="x-none"/>
              </w:rPr>
            </w:pPr>
            <w:r w:rsidRPr="00FB00CA">
              <w:rPr>
                <w:rFonts w:ascii="Arial" w:hAnsi="Arial"/>
                <w:sz w:val="22"/>
                <w:lang w:bidi="x-none"/>
              </w:rPr>
              <w:t>27.4</w:t>
            </w:r>
          </w:p>
        </w:tc>
        <w:tc>
          <w:tcPr>
            <w:tcW w:w="1490" w:type="dxa"/>
            <w:tcBorders>
              <w:top w:val="nil"/>
              <w:left w:val="nil"/>
              <w:bottom w:val="nil"/>
              <w:right w:val="nil"/>
            </w:tcBorders>
            <w:shd w:val="clear" w:color="auto" w:fill="auto"/>
            <w:noWrap/>
            <w:vAlign w:val="bottom"/>
          </w:tcPr>
          <w:p w14:paraId="365DCC79" w14:textId="77777777" w:rsidR="00485F92" w:rsidRPr="00FB00CA" w:rsidRDefault="00485F92" w:rsidP="00485F92">
            <w:pPr>
              <w:jc w:val="center"/>
              <w:rPr>
                <w:rFonts w:ascii="Geneva" w:hAnsi="Geneva"/>
                <w:sz w:val="22"/>
                <w:lang w:bidi="x-none"/>
              </w:rPr>
            </w:pPr>
            <w:r w:rsidRPr="00FB00CA">
              <w:rPr>
                <w:rFonts w:ascii="Arial" w:hAnsi="Arial"/>
                <w:sz w:val="22"/>
                <w:lang w:bidi="x-none"/>
              </w:rPr>
              <w:t>67.4</w:t>
            </w:r>
          </w:p>
        </w:tc>
        <w:tc>
          <w:tcPr>
            <w:tcW w:w="1487" w:type="dxa"/>
            <w:tcBorders>
              <w:top w:val="nil"/>
              <w:left w:val="nil"/>
              <w:bottom w:val="nil"/>
              <w:right w:val="nil"/>
            </w:tcBorders>
            <w:shd w:val="clear" w:color="auto" w:fill="auto"/>
            <w:noWrap/>
            <w:vAlign w:val="bottom"/>
          </w:tcPr>
          <w:p w14:paraId="477A0B22" w14:textId="77777777" w:rsidR="00485F92" w:rsidRPr="00FB00CA" w:rsidRDefault="00485F92" w:rsidP="00485F92">
            <w:pPr>
              <w:jc w:val="center"/>
              <w:rPr>
                <w:rFonts w:ascii="Geneva" w:hAnsi="Geneva"/>
                <w:sz w:val="22"/>
                <w:lang w:bidi="x-none"/>
              </w:rPr>
            </w:pPr>
            <w:r w:rsidRPr="00FB00CA">
              <w:rPr>
                <w:rFonts w:ascii="Arial" w:hAnsi="Arial"/>
                <w:sz w:val="22"/>
                <w:lang w:bidi="x-none"/>
              </w:rPr>
              <w:t>86.2</w:t>
            </w:r>
          </w:p>
        </w:tc>
        <w:tc>
          <w:tcPr>
            <w:tcW w:w="645" w:type="dxa"/>
            <w:tcBorders>
              <w:top w:val="nil"/>
              <w:left w:val="nil"/>
              <w:bottom w:val="nil"/>
              <w:right w:val="nil"/>
            </w:tcBorders>
            <w:shd w:val="clear" w:color="auto" w:fill="auto"/>
            <w:noWrap/>
            <w:vAlign w:val="bottom"/>
          </w:tcPr>
          <w:p w14:paraId="3009F4A3" w14:textId="77777777" w:rsidR="00485F92" w:rsidRPr="00FB00CA" w:rsidRDefault="00485F92" w:rsidP="00485F92">
            <w:pPr>
              <w:jc w:val="center"/>
              <w:rPr>
                <w:rFonts w:ascii="Geneva" w:hAnsi="Geneva"/>
                <w:sz w:val="22"/>
                <w:lang w:bidi="x-none"/>
              </w:rPr>
            </w:pPr>
            <w:r w:rsidRPr="00FB00CA">
              <w:rPr>
                <w:rFonts w:ascii="Arial" w:hAnsi="Arial"/>
                <w:sz w:val="22"/>
                <w:lang w:bidi="x-none"/>
              </w:rPr>
              <w:t>14.3</w:t>
            </w:r>
          </w:p>
        </w:tc>
        <w:tc>
          <w:tcPr>
            <w:tcW w:w="1490" w:type="dxa"/>
            <w:tcBorders>
              <w:top w:val="nil"/>
              <w:left w:val="nil"/>
              <w:bottom w:val="nil"/>
              <w:right w:val="nil"/>
            </w:tcBorders>
            <w:shd w:val="clear" w:color="auto" w:fill="auto"/>
            <w:noWrap/>
            <w:vAlign w:val="bottom"/>
          </w:tcPr>
          <w:p w14:paraId="08FAF087" w14:textId="77777777" w:rsidR="00485F92" w:rsidRPr="00FB00CA" w:rsidRDefault="00485F92" w:rsidP="00485F92">
            <w:pPr>
              <w:jc w:val="center"/>
              <w:rPr>
                <w:rFonts w:ascii="Geneva" w:hAnsi="Geneva"/>
                <w:sz w:val="22"/>
                <w:lang w:bidi="x-none"/>
              </w:rPr>
            </w:pPr>
            <w:r w:rsidRPr="00FB00CA">
              <w:rPr>
                <w:rFonts w:ascii="Arial" w:hAnsi="Arial"/>
                <w:sz w:val="22"/>
                <w:lang w:bidi="x-none"/>
              </w:rPr>
              <w:t>93.7</w:t>
            </w:r>
          </w:p>
        </w:tc>
      </w:tr>
      <w:tr w:rsidR="00485F92" w:rsidRPr="00FB00CA" w14:paraId="2687EF79" w14:textId="77777777">
        <w:trPr>
          <w:trHeight w:val="320"/>
        </w:trPr>
        <w:tc>
          <w:tcPr>
            <w:tcW w:w="3667" w:type="dxa"/>
            <w:gridSpan w:val="2"/>
            <w:tcBorders>
              <w:top w:val="nil"/>
              <w:left w:val="nil"/>
              <w:bottom w:val="dotted" w:sz="6" w:space="0" w:color="auto"/>
              <w:right w:val="nil"/>
            </w:tcBorders>
            <w:shd w:val="clear" w:color="auto" w:fill="auto"/>
            <w:noWrap/>
            <w:vAlign w:val="bottom"/>
          </w:tcPr>
          <w:p w14:paraId="39E6A2E3" w14:textId="77777777" w:rsidR="00485F92" w:rsidRPr="00FB00CA" w:rsidRDefault="00485F92" w:rsidP="00485F92">
            <w:pPr>
              <w:jc w:val="center"/>
              <w:rPr>
                <w:rFonts w:ascii="Geneva" w:hAnsi="Geneva"/>
                <w:b/>
                <w:sz w:val="22"/>
                <w:lang w:bidi="x-none"/>
              </w:rPr>
            </w:pPr>
          </w:p>
        </w:tc>
        <w:tc>
          <w:tcPr>
            <w:tcW w:w="645" w:type="dxa"/>
            <w:tcBorders>
              <w:top w:val="nil"/>
              <w:left w:val="nil"/>
              <w:bottom w:val="dotted" w:sz="6" w:space="0" w:color="auto"/>
              <w:right w:val="nil"/>
            </w:tcBorders>
            <w:shd w:val="clear" w:color="auto" w:fill="auto"/>
            <w:noWrap/>
            <w:vAlign w:val="bottom"/>
          </w:tcPr>
          <w:p w14:paraId="6003A1AD" w14:textId="77777777" w:rsidR="00485F92" w:rsidRPr="00FB00CA" w:rsidRDefault="00485F92" w:rsidP="00485F92">
            <w:pPr>
              <w:rPr>
                <w:rFonts w:ascii="Geneva" w:hAnsi="Geneva"/>
                <w:sz w:val="22"/>
                <w:lang w:bidi="x-none"/>
              </w:rPr>
            </w:pPr>
          </w:p>
        </w:tc>
        <w:tc>
          <w:tcPr>
            <w:tcW w:w="1490" w:type="dxa"/>
            <w:tcBorders>
              <w:top w:val="nil"/>
              <w:left w:val="nil"/>
              <w:bottom w:val="dotted" w:sz="6" w:space="0" w:color="auto"/>
              <w:right w:val="nil"/>
            </w:tcBorders>
            <w:shd w:val="clear" w:color="auto" w:fill="auto"/>
            <w:noWrap/>
            <w:vAlign w:val="bottom"/>
          </w:tcPr>
          <w:p w14:paraId="065E4111" w14:textId="77777777" w:rsidR="00485F92" w:rsidRPr="00FB00CA" w:rsidRDefault="00485F92" w:rsidP="00485F92">
            <w:pPr>
              <w:jc w:val="center"/>
              <w:rPr>
                <w:rFonts w:ascii="Geneva" w:hAnsi="Geneva"/>
                <w:sz w:val="22"/>
                <w:lang w:bidi="x-none"/>
              </w:rPr>
            </w:pPr>
          </w:p>
        </w:tc>
        <w:tc>
          <w:tcPr>
            <w:tcW w:w="1487" w:type="dxa"/>
            <w:tcBorders>
              <w:top w:val="nil"/>
              <w:left w:val="nil"/>
              <w:bottom w:val="dotted" w:sz="6" w:space="0" w:color="auto"/>
              <w:right w:val="nil"/>
            </w:tcBorders>
            <w:shd w:val="clear" w:color="auto" w:fill="auto"/>
            <w:noWrap/>
            <w:vAlign w:val="bottom"/>
          </w:tcPr>
          <w:p w14:paraId="68F2ED22" w14:textId="77777777" w:rsidR="00485F92" w:rsidRPr="00FB00CA" w:rsidRDefault="00485F92" w:rsidP="00485F92">
            <w:pPr>
              <w:rPr>
                <w:rFonts w:ascii="Geneva" w:hAnsi="Geneva"/>
                <w:sz w:val="22"/>
                <w:lang w:bidi="x-none"/>
              </w:rPr>
            </w:pPr>
          </w:p>
        </w:tc>
        <w:tc>
          <w:tcPr>
            <w:tcW w:w="645" w:type="dxa"/>
            <w:tcBorders>
              <w:top w:val="nil"/>
              <w:left w:val="nil"/>
              <w:bottom w:val="dotted" w:sz="6" w:space="0" w:color="auto"/>
              <w:right w:val="nil"/>
            </w:tcBorders>
            <w:shd w:val="clear" w:color="auto" w:fill="auto"/>
            <w:noWrap/>
            <w:vAlign w:val="bottom"/>
          </w:tcPr>
          <w:p w14:paraId="4A8027E3" w14:textId="77777777" w:rsidR="00485F92" w:rsidRPr="00FB00CA" w:rsidRDefault="00485F92" w:rsidP="00485F92">
            <w:pPr>
              <w:jc w:val="center"/>
              <w:rPr>
                <w:rFonts w:ascii="Geneva" w:hAnsi="Geneva"/>
                <w:sz w:val="22"/>
                <w:lang w:bidi="x-none"/>
              </w:rPr>
            </w:pPr>
          </w:p>
        </w:tc>
        <w:tc>
          <w:tcPr>
            <w:tcW w:w="1490" w:type="dxa"/>
            <w:tcBorders>
              <w:top w:val="nil"/>
              <w:left w:val="nil"/>
              <w:bottom w:val="dotted" w:sz="6" w:space="0" w:color="auto"/>
              <w:right w:val="nil"/>
            </w:tcBorders>
            <w:shd w:val="clear" w:color="auto" w:fill="auto"/>
            <w:noWrap/>
            <w:vAlign w:val="bottom"/>
          </w:tcPr>
          <w:p w14:paraId="318716F1" w14:textId="77777777" w:rsidR="00485F92" w:rsidRPr="00FB00CA" w:rsidRDefault="00485F92" w:rsidP="00485F92">
            <w:pPr>
              <w:rPr>
                <w:rFonts w:ascii="Geneva" w:hAnsi="Geneva"/>
                <w:sz w:val="22"/>
                <w:lang w:bidi="x-none"/>
              </w:rPr>
            </w:pPr>
          </w:p>
        </w:tc>
      </w:tr>
      <w:tr w:rsidR="00485F92" w:rsidRPr="00FB00CA" w14:paraId="7BEC6B42" w14:textId="77777777">
        <w:trPr>
          <w:trHeight w:val="260"/>
        </w:trPr>
        <w:tc>
          <w:tcPr>
            <w:tcW w:w="2180" w:type="dxa"/>
            <w:tcBorders>
              <w:top w:val="dotted" w:sz="6" w:space="0" w:color="auto"/>
              <w:left w:val="nil"/>
              <w:bottom w:val="nil"/>
              <w:right w:val="nil"/>
            </w:tcBorders>
            <w:shd w:val="clear" w:color="auto" w:fill="auto"/>
            <w:noWrap/>
            <w:vAlign w:val="bottom"/>
          </w:tcPr>
          <w:p w14:paraId="47FAB937" w14:textId="77777777" w:rsidR="00485F92" w:rsidRPr="00FB00CA" w:rsidRDefault="00485F92" w:rsidP="00485F92">
            <w:pPr>
              <w:spacing w:before="60"/>
              <w:rPr>
                <w:rFonts w:ascii="Geneva" w:hAnsi="Geneva"/>
                <w:sz w:val="22"/>
                <w:lang w:bidi="x-none"/>
              </w:rPr>
            </w:pPr>
            <w:r w:rsidRPr="00FB00CA">
              <w:rPr>
                <w:rFonts w:ascii="Arial" w:hAnsi="Arial"/>
                <w:b/>
                <w:sz w:val="22"/>
                <w:lang w:bidi="x-none"/>
              </w:rPr>
              <w:t>Sticklebacks</w:t>
            </w:r>
          </w:p>
        </w:tc>
        <w:tc>
          <w:tcPr>
            <w:tcW w:w="3622" w:type="dxa"/>
            <w:gridSpan w:val="3"/>
            <w:tcBorders>
              <w:top w:val="dotted" w:sz="6" w:space="0" w:color="auto"/>
              <w:left w:val="nil"/>
              <w:bottom w:val="nil"/>
              <w:right w:val="nil"/>
            </w:tcBorders>
            <w:shd w:val="clear" w:color="auto" w:fill="auto"/>
            <w:noWrap/>
            <w:vAlign w:val="bottom"/>
          </w:tcPr>
          <w:p w14:paraId="78A05F06" w14:textId="77777777" w:rsidR="00485F92" w:rsidRPr="00FB00CA" w:rsidRDefault="00485F92" w:rsidP="00485F92">
            <w:pPr>
              <w:spacing w:before="60"/>
              <w:jc w:val="center"/>
              <w:rPr>
                <w:rFonts w:ascii="Geneva" w:hAnsi="Geneva"/>
                <w:b/>
                <w:sz w:val="22"/>
                <w:lang w:bidi="x-none"/>
              </w:rPr>
            </w:pPr>
            <w:r w:rsidRPr="00FB00CA">
              <w:rPr>
                <w:rFonts w:ascii="Arial" w:hAnsi="Arial"/>
                <w:b/>
                <w:sz w:val="22"/>
                <w:lang w:bidi="x-none"/>
              </w:rPr>
              <w:t>Headquarters Pool</w:t>
            </w:r>
          </w:p>
        </w:tc>
        <w:tc>
          <w:tcPr>
            <w:tcW w:w="3622" w:type="dxa"/>
            <w:gridSpan w:val="3"/>
            <w:tcBorders>
              <w:top w:val="dotted" w:sz="6" w:space="0" w:color="auto"/>
              <w:left w:val="nil"/>
              <w:bottom w:val="nil"/>
              <w:right w:val="nil"/>
            </w:tcBorders>
            <w:shd w:val="clear" w:color="auto" w:fill="auto"/>
            <w:noWrap/>
            <w:vAlign w:val="bottom"/>
          </w:tcPr>
          <w:p w14:paraId="3B6A6689" w14:textId="77777777" w:rsidR="00485F92" w:rsidRPr="00FB00CA" w:rsidRDefault="00485F92" w:rsidP="00485F92">
            <w:pPr>
              <w:spacing w:before="60"/>
              <w:jc w:val="center"/>
              <w:rPr>
                <w:rFonts w:ascii="Geneva" w:hAnsi="Geneva"/>
                <w:b/>
                <w:sz w:val="22"/>
                <w:lang w:bidi="x-none"/>
              </w:rPr>
            </w:pPr>
            <w:r w:rsidRPr="00FB00CA">
              <w:rPr>
                <w:rFonts w:ascii="Arial" w:hAnsi="Arial"/>
                <w:b/>
                <w:sz w:val="22"/>
                <w:lang w:bidi="x-none"/>
              </w:rPr>
              <w:t>Agassiz Pool</w:t>
            </w:r>
          </w:p>
        </w:tc>
      </w:tr>
      <w:tr w:rsidR="00485F92" w:rsidRPr="00FB00CA" w14:paraId="08188543" w14:textId="77777777">
        <w:trPr>
          <w:trHeight w:val="260"/>
        </w:trPr>
        <w:tc>
          <w:tcPr>
            <w:tcW w:w="2180" w:type="dxa"/>
            <w:tcBorders>
              <w:top w:val="nil"/>
              <w:left w:val="nil"/>
              <w:bottom w:val="nil"/>
              <w:right w:val="nil"/>
            </w:tcBorders>
            <w:shd w:val="clear" w:color="auto" w:fill="auto"/>
            <w:noWrap/>
            <w:vAlign w:val="bottom"/>
          </w:tcPr>
          <w:p w14:paraId="37DBCCD8" w14:textId="77777777" w:rsidR="00485F92" w:rsidRPr="00FB00CA" w:rsidRDefault="00485F92" w:rsidP="00485F92">
            <w:pPr>
              <w:rPr>
                <w:rFonts w:ascii="Geneva" w:hAnsi="Geneva"/>
                <w:sz w:val="22"/>
                <w:lang w:bidi="x-none"/>
              </w:rPr>
            </w:pPr>
            <w:r w:rsidRPr="00FB00CA">
              <w:rPr>
                <w:rFonts w:ascii="Arial" w:hAnsi="Arial"/>
                <w:sz w:val="22"/>
                <w:lang w:bidi="x-none"/>
              </w:rPr>
              <w:t>Hg</w:t>
            </w:r>
            <w:r w:rsidRPr="00D37ECE">
              <w:rPr>
                <w:rFonts w:ascii="Arial" w:hAnsi="Arial"/>
                <w:sz w:val="22"/>
                <w:vertAlign w:val="subscript"/>
                <w:lang w:bidi="x-none"/>
              </w:rPr>
              <w:t>T</w:t>
            </w:r>
            <w:r w:rsidRPr="00FB00CA">
              <w:rPr>
                <w:rFonts w:ascii="Arial" w:hAnsi="Arial"/>
                <w:sz w:val="22"/>
                <w:lang w:bidi="x-none"/>
              </w:rPr>
              <w:t xml:space="preserve"> (ng/g)</w:t>
            </w:r>
          </w:p>
        </w:tc>
        <w:tc>
          <w:tcPr>
            <w:tcW w:w="1487" w:type="dxa"/>
            <w:tcBorders>
              <w:top w:val="nil"/>
              <w:left w:val="nil"/>
              <w:bottom w:val="nil"/>
              <w:right w:val="nil"/>
            </w:tcBorders>
            <w:shd w:val="clear" w:color="auto" w:fill="auto"/>
            <w:noWrap/>
            <w:vAlign w:val="bottom"/>
          </w:tcPr>
          <w:p w14:paraId="064E5CB4" w14:textId="77777777" w:rsidR="00485F92" w:rsidRPr="00FB00CA" w:rsidRDefault="00485F92" w:rsidP="00485F92">
            <w:pPr>
              <w:jc w:val="center"/>
              <w:rPr>
                <w:rFonts w:ascii="Geneva" w:hAnsi="Geneva"/>
                <w:sz w:val="22"/>
                <w:lang w:bidi="x-none"/>
              </w:rPr>
            </w:pPr>
            <w:r w:rsidRPr="00FB00CA">
              <w:rPr>
                <w:rFonts w:ascii="Arial" w:hAnsi="Arial"/>
                <w:sz w:val="22"/>
                <w:lang w:bidi="x-none"/>
              </w:rPr>
              <w:t>mean</w:t>
            </w:r>
          </w:p>
        </w:tc>
        <w:tc>
          <w:tcPr>
            <w:tcW w:w="645" w:type="dxa"/>
            <w:tcBorders>
              <w:top w:val="nil"/>
              <w:left w:val="nil"/>
              <w:bottom w:val="nil"/>
              <w:right w:val="nil"/>
            </w:tcBorders>
            <w:shd w:val="clear" w:color="auto" w:fill="auto"/>
            <w:noWrap/>
            <w:vAlign w:val="bottom"/>
          </w:tcPr>
          <w:p w14:paraId="07471DE4" w14:textId="77777777" w:rsidR="00485F92" w:rsidRPr="00FB00CA" w:rsidRDefault="00485F92" w:rsidP="00485F92">
            <w:pPr>
              <w:jc w:val="center"/>
              <w:rPr>
                <w:rFonts w:ascii="Geneva" w:hAnsi="Geneva"/>
                <w:sz w:val="22"/>
                <w:lang w:bidi="x-none"/>
              </w:rPr>
            </w:pPr>
            <w:proofErr w:type="spellStart"/>
            <w:r w:rsidRPr="00FB00CA">
              <w:rPr>
                <w:rFonts w:ascii="Arial" w:hAnsi="Arial"/>
                <w:sz w:val="22"/>
                <w:lang w:bidi="x-none"/>
              </w:rPr>
              <w:t>s.d.</w:t>
            </w:r>
            <w:proofErr w:type="spellEnd"/>
          </w:p>
        </w:tc>
        <w:tc>
          <w:tcPr>
            <w:tcW w:w="1490" w:type="dxa"/>
            <w:tcBorders>
              <w:top w:val="nil"/>
              <w:left w:val="nil"/>
              <w:bottom w:val="nil"/>
              <w:right w:val="nil"/>
            </w:tcBorders>
            <w:shd w:val="clear" w:color="auto" w:fill="auto"/>
            <w:noWrap/>
            <w:vAlign w:val="bottom"/>
          </w:tcPr>
          <w:p w14:paraId="4E5265A8" w14:textId="77777777" w:rsidR="00485F92" w:rsidRPr="00FB00CA" w:rsidRDefault="00485F92" w:rsidP="00485F92">
            <w:pPr>
              <w:jc w:val="center"/>
              <w:rPr>
                <w:rFonts w:ascii="Geneva" w:hAnsi="Geneva"/>
                <w:sz w:val="22"/>
                <w:lang w:bidi="x-none"/>
              </w:rPr>
            </w:pPr>
            <w:r w:rsidRPr="00FB00CA">
              <w:rPr>
                <w:rFonts w:ascii="Arial" w:hAnsi="Arial"/>
                <w:sz w:val="22"/>
                <w:lang w:bidi="x-none"/>
              </w:rPr>
              <w:t>median</w:t>
            </w:r>
          </w:p>
        </w:tc>
        <w:tc>
          <w:tcPr>
            <w:tcW w:w="1487" w:type="dxa"/>
            <w:tcBorders>
              <w:top w:val="nil"/>
              <w:left w:val="nil"/>
              <w:bottom w:val="nil"/>
              <w:right w:val="nil"/>
            </w:tcBorders>
            <w:shd w:val="clear" w:color="auto" w:fill="auto"/>
            <w:noWrap/>
            <w:vAlign w:val="bottom"/>
          </w:tcPr>
          <w:p w14:paraId="4A12AFDA" w14:textId="77777777" w:rsidR="00485F92" w:rsidRPr="00FB00CA" w:rsidRDefault="00485F92" w:rsidP="00485F92">
            <w:pPr>
              <w:jc w:val="center"/>
              <w:rPr>
                <w:rFonts w:ascii="Geneva" w:hAnsi="Geneva"/>
                <w:sz w:val="22"/>
                <w:lang w:bidi="x-none"/>
              </w:rPr>
            </w:pPr>
            <w:r w:rsidRPr="00FB00CA">
              <w:rPr>
                <w:rFonts w:ascii="Arial" w:hAnsi="Arial"/>
                <w:sz w:val="22"/>
                <w:lang w:bidi="x-none"/>
              </w:rPr>
              <w:t>mean</w:t>
            </w:r>
          </w:p>
        </w:tc>
        <w:tc>
          <w:tcPr>
            <w:tcW w:w="645" w:type="dxa"/>
            <w:tcBorders>
              <w:top w:val="nil"/>
              <w:left w:val="nil"/>
              <w:bottom w:val="nil"/>
              <w:right w:val="nil"/>
            </w:tcBorders>
            <w:shd w:val="clear" w:color="auto" w:fill="auto"/>
            <w:noWrap/>
            <w:vAlign w:val="bottom"/>
          </w:tcPr>
          <w:p w14:paraId="49F12585" w14:textId="77777777" w:rsidR="00485F92" w:rsidRPr="00FB00CA" w:rsidRDefault="00485F92" w:rsidP="00485F92">
            <w:pPr>
              <w:jc w:val="center"/>
              <w:rPr>
                <w:rFonts w:ascii="Geneva" w:hAnsi="Geneva"/>
                <w:sz w:val="22"/>
                <w:lang w:bidi="x-none"/>
              </w:rPr>
            </w:pPr>
            <w:proofErr w:type="spellStart"/>
            <w:r w:rsidRPr="00FB00CA">
              <w:rPr>
                <w:rFonts w:ascii="Arial" w:hAnsi="Arial"/>
                <w:sz w:val="22"/>
                <w:lang w:bidi="x-none"/>
              </w:rPr>
              <w:t>s.d.</w:t>
            </w:r>
            <w:proofErr w:type="spellEnd"/>
          </w:p>
        </w:tc>
        <w:tc>
          <w:tcPr>
            <w:tcW w:w="1490" w:type="dxa"/>
            <w:tcBorders>
              <w:top w:val="nil"/>
              <w:left w:val="nil"/>
              <w:bottom w:val="nil"/>
              <w:right w:val="nil"/>
            </w:tcBorders>
            <w:shd w:val="clear" w:color="auto" w:fill="auto"/>
            <w:noWrap/>
            <w:vAlign w:val="bottom"/>
          </w:tcPr>
          <w:p w14:paraId="43394BAA" w14:textId="77777777" w:rsidR="00485F92" w:rsidRPr="00FB00CA" w:rsidRDefault="00485F92" w:rsidP="00485F92">
            <w:pPr>
              <w:jc w:val="center"/>
              <w:rPr>
                <w:rFonts w:ascii="Geneva" w:hAnsi="Geneva"/>
                <w:sz w:val="22"/>
                <w:lang w:bidi="x-none"/>
              </w:rPr>
            </w:pPr>
            <w:r w:rsidRPr="00FB00CA">
              <w:rPr>
                <w:rFonts w:ascii="Arial" w:hAnsi="Arial"/>
                <w:sz w:val="22"/>
                <w:lang w:bidi="x-none"/>
              </w:rPr>
              <w:t>median</w:t>
            </w:r>
          </w:p>
        </w:tc>
      </w:tr>
      <w:tr w:rsidR="00485F92" w:rsidRPr="00FB00CA" w14:paraId="4EC946C8" w14:textId="77777777">
        <w:trPr>
          <w:trHeight w:val="260"/>
        </w:trPr>
        <w:tc>
          <w:tcPr>
            <w:tcW w:w="2180" w:type="dxa"/>
            <w:tcBorders>
              <w:top w:val="nil"/>
              <w:left w:val="nil"/>
              <w:bottom w:val="nil"/>
              <w:right w:val="nil"/>
            </w:tcBorders>
            <w:shd w:val="clear" w:color="auto" w:fill="auto"/>
            <w:noWrap/>
            <w:vAlign w:val="bottom"/>
          </w:tcPr>
          <w:p w14:paraId="2FBD2046" w14:textId="77777777" w:rsidR="00485F92" w:rsidRPr="00FB00CA" w:rsidRDefault="00485F92" w:rsidP="00485F92">
            <w:pPr>
              <w:jc w:val="right"/>
              <w:rPr>
                <w:rFonts w:ascii="Geneva" w:hAnsi="Geneva"/>
                <w:sz w:val="22"/>
                <w:lang w:bidi="x-none"/>
              </w:rPr>
            </w:pPr>
            <w:r w:rsidRPr="00FB00CA">
              <w:rPr>
                <w:rFonts w:ascii="Arial" w:hAnsi="Arial"/>
                <w:sz w:val="22"/>
                <w:lang w:bidi="x-none"/>
              </w:rPr>
              <w:t>2009</w:t>
            </w:r>
          </w:p>
        </w:tc>
        <w:tc>
          <w:tcPr>
            <w:tcW w:w="1487" w:type="dxa"/>
            <w:tcBorders>
              <w:top w:val="nil"/>
              <w:left w:val="nil"/>
              <w:bottom w:val="nil"/>
              <w:right w:val="nil"/>
            </w:tcBorders>
            <w:shd w:val="clear" w:color="auto" w:fill="auto"/>
            <w:noWrap/>
            <w:vAlign w:val="bottom"/>
          </w:tcPr>
          <w:p w14:paraId="058BFB78" w14:textId="77777777" w:rsidR="00485F92" w:rsidRPr="00FB00CA" w:rsidRDefault="00485F92" w:rsidP="00485F92">
            <w:pPr>
              <w:jc w:val="center"/>
              <w:rPr>
                <w:rFonts w:ascii="Geneva" w:hAnsi="Geneva"/>
                <w:sz w:val="22"/>
                <w:lang w:bidi="x-none"/>
              </w:rPr>
            </w:pPr>
            <w:r w:rsidRPr="00FB00CA">
              <w:rPr>
                <w:rFonts w:ascii="Arial" w:hAnsi="Arial"/>
                <w:sz w:val="22"/>
                <w:lang w:bidi="x-none"/>
              </w:rPr>
              <w:t>167</w:t>
            </w:r>
          </w:p>
        </w:tc>
        <w:tc>
          <w:tcPr>
            <w:tcW w:w="645" w:type="dxa"/>
            <w:tcBorders>
              <w:top w:val="nil"/>
              <w:left w:val="nil"/>
              <w:bottom w:val="nil"/>
              <w:right w:val="nil"/>
            </w:tcBorders>
            <w:shd w:val="clear" w:color="auto" w:fill="auto"/>
            <w:noWrap/>
            <w:vAlign w:val="bottom"/>
          </w:tcPr>
          <w:p w14:paraId="663ADC7E" w14:textId="77777777" w:rsidR="00485F92" w:rsidRPr="00FB00CA" w:rsidRDefault="00485F92" w:rsidP="00485F92">
            <w:pPr>
              <w:jc w:val="center"/>
              <w:rPr>
                <w:rFonts w:ascii="Geneva" w:hAnsi="Geneva"/>
                <w:sz w:val="22"/>
                <w:lang w:bidi="x-none"/>
              </w:rPr>
            </w:pPr>
            <w:r w:rsidRPr="00FB00CA">
              <w:rPr>
                <w:rFonts w:ascii="Arial" w:hAnsi="Arial"/>
                <w:sz w:val="22"/>
                <w:lang w:bidi="x-none"/>
              </w:rPr>
              <w:t>47</w:t>
            </w:r>
          </w:p>
        </w:tc>
        <w:tc>
          <w:tcPr>
            <w:tcW w:w="1490" w:type="dxa"/>
            <w:tcBorders>
              <w:top w:val="nil"/>
              <w:left w:val="nil"/>
              <w:bottom w:val="nil"/>
              <w:right w:val="nil"/>
            </w:tcBorders>
            <w:shd w:val="clear" w:color="auto" w:fill="auto"/>
            <w:noWrap/>
            <w:vAlign w:val="bottom"/>
          </w:tcPr>
          <w:p w14:paraId="7B29CCEC" w14:textId="77777777" w:rsidR="00485F92" w:rsidRPr="00FB00CA" w:rsidRDefault="00485F92" w:rsidP="00485F92">
            <w:pPr>
              <w:jc w:val="center"/>
              <w:rPr>
                <w:rFonts w:ascii="Geneva" w:hAnsi="Geneva"/>
                <w:sz w:val="22"/>
                <w:lang w:bidi="x-none"/>
              </w:rPr>
            </w:pPr>
            <w:r w:rsidRPr="00FB00CA">
              <w:rPr>
                <w:rFonts w:ascii="Arial" w:hAnsi="Arial"/>
                <w:sz w:val="22"/>
                <w:lang w:bidi="x-none"/>
              </w:rPr>
              <w:t>175</w:t>
            </w:r>
          </w:p>
        </w:tc>
        <w:tc>
          <w:tcPr>
            <w:tcW w:w="1487" w:type="dxa"/>
            <w:tcBorders>
              <w:top w:val="nil"/>
              <w:left w:val="nil"/>
              <w:bottom w:val="nil"/>
              <w:right w:val="nil"/>
            </w:tcBorders>
            <w:shd w:val="clear" w:color="auto" w:fill="auto"/>
            <w:noWrap/>
            <w:vAlign w:val="bottom"/>
          </w:tcPr>
          <w:p w14:paraId="0DA7834E" w14:textId="77777777" w:rsidR="00485F92" w:rsidRPr="00FB00CA" w:rsidRDefault="00485F92" w:rsidP="00485F92">
            <w:pPr>
              <w:jc w:val="center"/>
              <w:rPr>
                <w:rFonts w:ascii="Geneva" w:hAnsi="Geneva"/>
                <w:sz w:val="22"/>
                <w:lang w:bidi="x-none"/>
              </w:rPr>
            </w:pPr>
            <w:r w:rsidRPr="00FB00CA">
              <w:rPr>
                <w:rFonts w:ascii="Arial" w:hAnsi="Arial"/>
                <w:sz w:val="22"/>
                <w:lang w:bidi="x-none"/>
              </w:rPr>
              <w:t>94</w:t>
            </w:r>
          </w:p>
        </w:tc>
        <w:tc>
          <w:tcPr>
            <w:tcW w:w="645" w:type="dxa"/>
            <w:tcBorders>
              <w:top w:val="nil"/>
              <w:left w:val="nil"/>
              <w:bottom w:val="nil"/>
              <w:right w:val="nil"/>
            </w:tcBorders>
            <w:shd w:val="clear" w:color="auto" w:fill="auto"/>
            <w:noWrap/>
            <w:vAlign w:val="bottom"/>
          </w:tcPr>
          <w:p w14:paraId="6E650DB1" w14:textId="77777777" w:rsidR="00485F92" w:rsidRPr="00FB00CA" w:rsidRDefault="00485F92" w:rsidP="00485F92">
            <w:pPr>
              <w:jc w:val="center"/>
              <w:rPr>
                <w:rFonts w:ascii="Geneva" w:hAnsi="Geneva"/>
                <w:sz w:val="22"/>
                <w:lang w:bidi="x-none"/>
              </w:rPr>
            </w:pPr>
            <w:r w:rsidRPr="00FB00CA">
              <w:rPr>
                <w:rFonts w:ascii="Arial" w:hAnsi="Arial"/>
                <w:sz w:val="22"/>
                <w:lang w:bidi="x-none"/>
              </w:rPr>
              <w:t>31</w:t>
            </w:r>
          </w:p>
        </w:tc>
        <w:tc>
          <w:tcPr>
            <w:tcW w:w="1490" w:type="dxa"/>
            <w:tcBorders>
              <w:top w:val="nil"/>
              <w:left w:val="nil"/>
              <w:bottom w:val="nil"/>
              <w:right w:val="nil"/>
            </w:tcBorders>
            <w:shd w:val="clear" w:color="auto" w:fill="auto"/>
            <w:noWrap/>
            <w:vAlign w:val="bottom"/>
          </w:tcPr>
          <w:p w14:paraId="35CB2EA5" w14:textId="77777777" w:rsidR="00485F92" w:rsidRPr="00FB00CA" w:rsidRDefault="00485F92" w:rsidP="00485F92">
            <w:pPr>
              <w:jc w:val="center"/>
              <w:rPr>
                <w:rFonts w:ascii="Geneva" w:hAnsi="Geneva"/>
                <w:sz w:val="22"/>
                <w:lang w:bidi="x-none"/>
              </w:rPr>
            </w:pPr>
            <w:r w:rsidRPr="00FB00CA">
              <w:rPr>
                <w:rFonts w:ascii="Arial" w:hAnsi="Arial"/>
                <w:sz w:val="22"/>
                <w:lang w:bidi="x-none"/>
              </w:rPr>
              <w:t>87</w:t>
            </w:r>
          </w:p>
        </w:tc>
      </w:tr>
      <w:tr w:rsidR="00485F92" w:rsidRPr="00FB00CA" w14:paraId="60E7034A" w14:textId="77777777">
        <w:trPr>
          <w:trHeight w:val="260"/>
        </w:trPr>
        <w:tc>
          <w:tcPr>
            <w:tcW w:w="2180" w:type="dxa"/>
            <w:tcBorders>
              <w:top w:val="nil"/>
              <w:left w:val="nil"/>
              <w:right w:val="nil"/>
            </w:tcBorders>
            <w:shd w:val="clear" w:color="auto" w:fill="auto"/>
            <w:noWrap/>
            <w:vAlign w:val="bottom"/>
          </w:tcPr>
          <w:p w14:paraId="1AAD5481" w14:textId="77777777" w:rsidR="00485F92" w:rsidRPr="00FB00CA" w:rsidRDefault="00485F92" w:rsidP="00485F92">
            <w:pPr>
              <w:jc w:val="right"/>
              <w:rPr>
                <w:rFonts w:ascii="Geneva" w:hAnsi="Geneva"/>
                <w:sz w:val="22"/>
                <w:lang w:bidi="x-none"/>
              </w:rPr>
            </w:pPr>
            <w:r w:rsidRPr="00FB00CA">
              <w:rPr>
                <w:rFonts w:ascii="Arial" w:hAnsi="Arial"/>
                <w:sz w:val="22"/>
                <w:lang w:bidi="x-none"/>
              </w:rPr>
              <w:t>2010</w:t>
            </w:r>
          </w:p>
        </w:tc>
        <w:tc>
          <w:tcPr>
            <w:tcW w:w="1487" w:type="dxa"/>
            <w:tcBorders>
              <w:top w:val="nil"/>
              <w:left w:val="nil"/>
              <w:right w:val="nil"/>
            </w:tcBorders>
            <w:shd w:val="clear" w:color="auto" w:fill="auto"/>
            <w:noWrap/>
            <w:vAlign w:val="bottom"/>
          </w:tcPr>
          <w:p w14:paraId="068F9748" w14:textId="77777777" w:rsidR="00485F92" w:rsidRPr="00FB00CA" w:rsidRDefault="00485F92" w:rsidP="00485F92">
            <w:pPr>
              <w:jc w:val="center"/>
              <w:rPr>
                <w:rFonts w:ascii="Geneva" w:hAnsi="Geneva"/>
                <w:sz w:val="22"/>
                <w:lang w:bidi="x-none"/>
              </w:rPr>
            </w:pPr>
            <w:r w:rsidRPr="00FB00CA">
              <w:rPr>
                <w:rFonts w:ascii="Arial" w:hAnsi="Arial"/>
                <w:sz w:val="22"/>
                <w:lang w:bidi="x-none"/>
              </w:rPr>
              <w:t>172</w:t>
            </w:r>
          </w:p>
        </w:tc>
        <w:tc>
          <w:tcPr>
            <w:tcW w:w="645" w:type="dxa"/>
            <w:tcBorders>
              <w:top w:val="nil"/>
              <w:left w:val="nil"/>
              <w:right w:val="nil"/>
            </w:tcBorders>
            <w:shd w:val="clear" w:color="auto" w:fill="auto"/>
            <w:noWrap/>
            <w:vAlign w:val="bottom"/>
          </w:tcPr>
          <w:p w14:paraId="4DAB6465" w14:textId="77777777" w:rsidR="00485F92" w:rsidRPr="00FB00CA" w:rsidRDefault="00485F92" w:rsidP="00485F92">
            <w:pPr>
              <w:jc w:val="center"/>
              <w:rPr>
                <w:rFonts w:ascii="Geneva" w:hAnsi="Geneva"/>
                <w:sz w:val="22"/>
                <w:lang w:bidi="x-none"/>
              </w:rPr>
            </w:pPr>
            <w:r w:rsidRPr="00FB00CA">
              <w:rPr>
                <w:rFonts w:ascii="Arial" w:hAnsi="Arial"/>
                <w:sz w:val="22"/>
                <w:lang w:bidi="x-none"/>
              </w:rPr>
              <w:t>44</w:t>
            </w:r>
          </w:p>
        </w:tc>
        <w:tc>
          <w:tcPr>
            <w:tcW w:w="1490" w:type="dxa"/>
            <w:tcBorders>
              <w:top w:val="nil"/>
              <w:left w:val="nil"/>
              <w:right w:val="nil"/>
            </w:tcBorders>
            <w:shd w:val="clear" w:color="auto" w:fill="auto"/>
            <w:noWrap/>
            <w:vAlign w:val="bottom"/>
          </w:tcPr>
          <w:p w14:paraId="43375C38" w14:textId="77777777" w:rsidR="00485F92" w:rsidRPr="00FB00CA" w:rsidRDefault="00485F92" w:rsidP="00485F92">
            <w:pPr>
              <w:jc w:val="center"/>
              <w:rPr>
                <w:rFonts w:ascii="Geneva" w:hAnsi="Geneva"/>
                <w:sz w:val="22"/>
                <w:lang w:bidi="x-none"/>
              </w:rPr>
            </w:pPr>
            <w:r w:rsidRPr="00FB00CA">
              <w:rPr>
                <w:rFonts w:ascii="Arial" w:hAnsi="Arial"/>
                <w:sz w:val="22"/>
                <w:lang w:bidi="x-none"/>
              </w:rPr>
              <w:t>180</w:t>
            </w:r>
          </w:p>
        </w:tc>
        <w:tc>
          <w:tcPr>
            <w:tcW w:w="1487" w:type="dxa"/>
            <w:tcBorders>
              <w:top w:val="nil"/>
              <w:left w:val="nil"/>
              <w:right w:val="nil"/>
            </w:tcBorders>
            <w:shd w:val="clear" w:color="auto" w:fill="auto"/>
            <w:noWrap/>
            <w:vAlign w:val="bottom"/>
          </w:tcPr>
          <w:p w14:paraId="3DD9AEE7" w14:textId="77777777" w:rsidR="00485F92" w:rsidRPr="00FB00CA" w:rsidRDefault="00485F92" w:rsidP="00485F92">
            <w:pPr>
              <w:jc w:val="center"/>
              <w:rPr>
                <w:rFonts w:ascii="Geneva" w:hAnsi="Geneva"/>
                <w:sz w:val="22"/>
                <w:lang w:bidi="x-none"/>
              </w:rPr>
            </w:pPr>
            <w:r w:rsidRPr="00FB00CA">
              <w:rPr>
                <w:rFonts w:ascii="Arial" w:hAnsi="Arial"/>
                <w:sz w:val="22"/>
                <w:lang w:bidi="x-none"/>
              </w:rPr>
              <w:t>127</w:t>
            </w:r>
          </w:p>
        </w:tc>
        <w:tc>
          <w:tcPr>
            <w:tcW w:w="645" w:type="dxa"/>
            <w:tcBorders>
              <w:top w:val="nil"/>
              <w:left w:val="nil"/>
              <w:right w:val="nil"/>
            </w:tcBorders>
            <w:shd w:val="clear" w:color="auto" w:fill="auto"/>
            <w:noWrap/>
            <w:vAlign w:val="bottom"/>
          </w:tcPr>
          <w:p w14:paraId="6317B699" w14:textId="77777777" w:rsidR="00485F92" w:rsidRPr="00FB00CA" w:rsidRDefault="00485F92" w:rsidP="00485F92">
            <w:pPr>
              <w:jc w:val="center"/>
              <w:rPr>
                <w:rFonts w:ascii="Geneva" w:hAnsi="Geneva"/>
                <w:sz w:val="22"/>
                <w:lang w:bidi="x-none"/>
              </w:rPr>
            </w:pPr>
            <w:r w:rsidRPr="00FB00CA">
              <w:rPr>
                <w:rFonts w:ascii="Arial" w:hAnsi="Arial"/>
                <w:sz w:val="22"/>
                <w:lang w:bidi="x-none"/>
              </w:rPr>
              <w:t>26</w:t>
            </w:r>
          </w:p>
        </w:tc>
        <w:tc>
          <w:tcPr>
            <w:tcW w:w="1490" w:type="dxa"/>
            <w:tcBorders>
              <w:top w:val="nil"/>
              <w:left w:val="nil"/>
              <w:right w:val="nil"/>
            </w:tcBorders>
            <w:shd w:val="clear" w:color="auto" w:fill="auto"/>
            <w:noWrap/>
            <w:vAlign w:val="bottom"/>
          </w:tcPr>
          <w:p w14:paraId="1FC4EDE4" w14:textId="77777777" w:rsidR="00485F92" w:rsidRPr="00FB00CA" w:rsidRDefault="00485F92" w:rsidP="00485F92">
            <w:pPr>
              <w:jc w:val="center"/>
              <w:rPr>
                <w:rFonts w:ascii="Geneva" w:hAnsi="Geneva"/>
                <w:sz w:val="22"/>
                <w:lang w:bidi="x-none"/>
              </w:rPr>
            </w:pPr>
            <w:r w:rsidRPr="00FB00CA">
              <w:rPr>
                <w:rFonts w:ascii="Arial" w:hAnsi="Arial"/>
                <w:sz w:val="22"/>
                <w:lang w:bidi="x-none"/>
              </w:rPr>
              <w:t>127</w:t>
            </w:r>
          </w:p>
        </w:tc>
      </w:tr>
      <w:tr w:rsidR="00485F92" w:rsidRPr="00FB00CA" w14:paraId="6623BC21" w14:textId="77777777">
        <w:trPr>
          <w:trHeight w:val="260"/>
        </w:trPr>
        <w:tc>
          <w:tcPr>
            <w:tcW w:w="2180" w:type="dxa"/>
            <w:tcBorders>
              <w:top w:val="nil"/>
              <w:left w:val="nil"/>
              <w:bottom w:val="single" w:sz="6" w:space="0" w:color="auto"/>
              <w:right w:val="nil"/>
            </w:tcBorders>
            <w:shd w:val="clear" w:color="auto" w:fill="auto"/>
            <w:noWrap/>
            <w:vAlign w:val="bottom"/>
          </w:tcPr>
          <w:p w14:paraId="19762851" w14:textId="77777777" w:rsidR="00485F92" w:rsidRPr="00FB00CA" w:rsidRDefault="00485F92" w:rsidP="00485F92">
            <w:pPr>
              <w:spacing w:after="60"/>
              <w:jc w:val="right"/>
              <w:rPr>
                <w:rFonts w:ascii="Geneva" w:hAnsi="Geneva"/>
                <w:sz w:val="22"/>
                <w:lang w:bidi="x-none"/>
              </w:rPr>
            </w:pPr>
            <w:r w:rsidRPr="00FB00CA">
              <w:rPr>
                <w:rFonts w:ascii="Arial" w:hAnsi="Arial"/>
                <w:sz w:val="22"/>
                <w:lang w:bidi="x-none"/>
              </w:rPr>
              <w:t>2011</w:t>
            </w:r>
          </w:p>
        </w:tc>
        <w:tc>
          <w:tcPr>
            <w:tcW w:w="1487" w:type="dxa"/>
            <w:tcBorders>
              <w:top w:val="nil"/>
              <w:left w:val="nil"/>
              <w:bottom w:val="single" w:sz="6" w:space="0" w:color="auto"/>
              <w:right w:val="nil"/>
            </w:tcBorders>
            <w:shd w:val="clear" w:color="auto" w:fill="auto"/>
            <w:noWrap/>
            <w:vAlign w:val="bottom"/>
          </w:tcPr>
          <w:p w14:paraId="64F57D9F" w14:textId="77777777" w:rsidR="00485F92" w:rsidRPr="00FB00CA" w:rsidRDefault="00485F92" w:rsidP="00485F92">
            <w:pPr>
              <w:spacing w:after="60"/>
              <w:jc w:val="center"/>
              <w:rPr>
                <w:rFonts w:ascii="Geneva" w:hAnsi="Geneva"/>
                <w:sz w:val="22"/>
                <w:lang w:bidi="x-none"/>
              </w:rPr>
            </w:pPr>
            <w:r w:rsidRPr="00FB00CA">
              <w:rPr>
                <w:rFonts w:ascii="Arial" w:hAnsi="Arial"/>
                <w:sz w:val="22"/>
                <w:lang w:bidi="x-none"/>
              </w:rPr>
              <w:t>136</w:t>
            </w:r>
          </w:p>
        </w:tc>
        <w:tc>
          <w:tcPr>
            <w:tcW w:w="645" w:type="dxa"/>
            <w:tcBorders>
              <w:top w:val="nil"/>
              <w:left w:val="nil"/>
              <w:bottom w:val="single" w:sz="6" w:space="0" w:color="auto"/>
              <w:right w:val="nil"/>
            </w:tcBorders>
            <w:shd w:val="clear" w:color="auto" w:fill="auto"/>
            <w:noWrap/>
            <w:vAlign w:val="bottom"/>
          </w:tcPr>
          <w:p w14:paraId="38E12091" w14:textId="77777777" w:rsidR="00485F92" w:rsidRPr="00FB00CA" w:rsidRDefault="00485F92" w:rsidP="00485F92">
            <w:pPr>
              <w:spacing w:after="60"/>
              <w:jc w:val="center"/>
              <w:rPr>
                <w:rFonts w:ascii="Geneva" w:hAnsi="Geneva"/>
                <w:sz w:val="22"/>
                <w:lang w:bidi="x-none"/>
              </w:rPr>
            </w:pPr>
            <w:r w:rsidRPr="00FB00CA">
              <w:rPr>
                <w:rFonts w:ascii="Arial" w:hAnsi="Arial"/>
                <w:sz w:val="22"/>
                <w:lang w:bidi="x-none"/>
              </w:rPr>
              <w:t>43</w:t>
            </w:r>
          </w:p>
        </w:tc>
        <w:tc>
          <w:tcPr>
            <w:tcW w:w="1490" w:type="dxa"/>
            <w:tcBorders>
              <w:top w:val="nil"/>
              <w:left w:val="nil"/>
              <w:bottom w:val="single" w:sz="6" w:space="0" w:color="auto"/>
              <w:right w:val="nil"/>
            </w:tcBorders>
            <w:shd w:val="clear" w:color="auto" w:fill="auto"/>
            <w:noWrap/>
            <w:vAlign w:val="bottom"/>
          </w:tcPr>
          <w:p w14:paraId="2FAB326B" w14:textId="77777777" w:rsidR="00485F92" w:rsidRPr="00FB00CA" w:rsidRDefault="00485F92" w:rsidP="00485F92">
            <w:pPr>
              <w:spacing w:after="60"/>
              <w:jc w:val="center"/>
              <w:rPr>
                <w:rFonts w:ascii="Geneva" w:hAnsi="Geneva"/>
                <w:sz w:val="22"/>
                <w:lang w:bidi="x-none"/>
              </w:rPr>
            </w:pPr>
            <w:r w:rsidRPr="00FB00CA">
              <w:rPr>
                <w:rFonts w:ascii="Arial" w:hAnsi="Arial"/>
                <w:sz w:val="22"/>
                <w:lang w:bidi="x-none"/>
              </w:rPr>
              <w:t>125</w:t>
            </w:r>
          </w:p>
        </w:tc>
        <w:tc>
          <w:tcPr>
            <w:tcW w:w="1487" w:type="dxa"/>
            <w:tcBorders>
              <w:top w:val="nil"/>
              <w:left w:val="nil"/>
              <w:bottom w:val="single" w:sz="6" w:space="0" w:color="auto"/>
              <w:right w:val="nil"/>
            </w:tcBorders>
            <w:shd w:val="clear" w:color="auto" w:fill="auto"/>
            <w:noWrap/>
            <w:vAlign w:val="bottom"/>
          </w:tcPr>
          <w:p w14:paraId="55BA013F" w14:textId="77777777" w:rsidR="00485F92" w:rsidRPr="00FB00CA" w:rsidRDefault="00485F92" w:rsidP="00485F92">
            <w:pPr>
              <w:spacing w:after="60"/>
              <w:jc w:val="center"/>
              <w:rPr>
                <w:rFonts w:ascii="Geneva" w:hAnsi="Geneva"/>
                <w:sz w:val="22"/>
                <w:lang w:bidi="x-none"/>
              </w:rPr>
            </w:pPr>
            <w:r w:rsidRPr="00FB00CA">
              <w:rPr>
                <w:rFonts w:ascii="Arial" w:hAnsi="Arial"/>
                <w:sz w:val="22"/>
                <w:lang w:bidi="x-none"/>
              </w:rPr>
              <w:t>188</w:t>
            </w:r>
          </w:p>
        </w:tc>
        <w:tc>
          <w:tcPr>
            <w:tcW w:w="645" w:type="dxa"/>
            <w:tcBorders>
              <w:top w:val="nil"/>
              <w:left w:val="nil"/>
              <w:bottom w:val="single" w:sz="6" w:space="0" w:color="auto"/>
              <w:right w:val="nil"/>
            </w:tcBorders>
            <w:shd w:val="clear" w:color="auto" w:fill="auto"/>
            <w:noWrap/>
            <w:vAlign w:val="bottom"/>
          </w:tcPr>
          <w:p w14:paraId="5BCEA793" w14:textId="77777777" w:rsidR="00485F92" w:rsidRPr="00FB00CA" w:rsidRDefault="00485F92" w:rsidP="00485F92">
            <w:pPr>
              <w:spacing w:after="60"/>
              <w:jc w:val="center"/>
              <w:rPr>
                <w:rFonts w:ascii="Geneva" w:hAnsi="Geneva"/>
                <w:sz w:val="22"/>
                <w:lang w:bidi="x-none"/>
              </w:rPr>
            </w:pPr>
            <w:r w:rsidRPr="00FB00CA">
              <w:rPr>
                <w:rFonts w:ascii="Arial" w:hAnsi="Arial"/>
                <w:sz w:val="22"/>
                <w:lang w:bidi="x-none"/>
              </w:rPr>
              <w:t>53</w:t>
            </w:r>
          </w:p>
        </w:tc>
        <w:tc>
          <w:tcPr>
            <w:tcW w:w="1490" w:type="dxa"/>
            <w:tcBorders>
              <w:top w:val="nil"/>
              <w:left w:val="nil"/>
              <w:bottom w:val="single" w:sz="6" w:space="0" w:color="auto"/>
              <w:right w:val="nil"/>
            </w:tcBorders>
            <w:shd w:val="clear" w:color="auto" w:fill="auto"/>
            <w:noWrap/>
            <w:vAlign w:val="bottom"/>
          </w:tcPr>
          <w:p w14:paraId="21FF9C81" w14:textId="77777777" w:rsidR="00485F92" w:rsidRPr="00FB00CA" w:rsidRDefault="00485F92" w:rsidP="00485F92">
            <w:pPr>
              <w:spacing w:after="60"/>
              <w:jc w:val="center"/>
              <w:rPr>
                <w:rFonts w:ascii="Geneva" w:hAnsi="Geneva"/>
                <w:sz w:val="22"/>
                <w:lang w:bidi="x-none"/>
              </w:rPr>
            </w:pPr>
            <w:r w:rsidRPr="00FB00CA">
              <w:rPr>
                <w:rFonts w:ascii="Arial" w:hAnsi="Arial"/>
                <w:sz w:val="22"/>
                <w:lang w:bidi="x-none"/>
              </w:rPr>
              <w:t>193</w:t>
            </w:r>
          </w:p>
        </w:tc>
      </w:tr>
    </w:tbl>
    <w:p w14:paraId="03F531D5" w14:textId="77777777" w:rsidR="00485F92" w:rsidRDefault="00485F92" w:rsidP="00485F92">
      <w:pPr>
        <w:ind w:left="720" w:hanging="720"/>
      </w:pPr>
      <w:r>
        <w:t xml:space="preserve"> </w:t>
      </w:r>
    </w:p>
    <w:p w14:paraId="708564CF" w14:textId="77777777" w:rsidR="00485F92" w:rsidRDefault="00485F92" w:rsidP="00485F92">
      <w:pPr>
        <w:ind w:left="720" w:hanging="720"/>
      </w:pPr>
      <w:r>
        <w:br w:type="page"/>
      </w:r>
      <w:r w:rsidR="00923E21">
        <w:rPr>
          <w:noProof/>
        </w:rPr>
        <w:lastRenderedPageBreak/>
        <w:drawing>
          <wp:inline distT="0" distB="0" distL="0" distR="0" wp14:anchorId="01CE3093" wp14:editId="5E2A1A8B">
            <wp:extent cx="5930900" cy="7340600"/>
            <wp:effectExtent l="0" t="0" r="12700" b="0"/>
            <wp:docPr id="2" name="Picture 2" descr="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7340600"/>
                    </a:xfrm>
                    <a:prstGeom prst="rect">
                      <a:avLst/>
                    </a:prstGeom>
                    <a:noFill/>
                    <a:ln>
                      <a:noFill/>
                    </a:ln>
                  </pic:spPr>
                </pic:pic>
              </a:graphicData>
            </a:graphic>
          </wp:inline>
        </w:drawing>
      </w:r>
    </w:p>
    <w:p w14:paraId="48794E63" w14:textId="77777777" w:rsidR="00485F92" w:rsidRDefault="00485F92" w:rsidP="00485F92">
      <w:pPr>
        <w:ind w:left="720" w:hanging="720"/>
      </w:pPr>
    </w:p>
    <w:p w14:paraId="70C10919" w14:textId="77777777" w:rsidR="00485F92" w:rsidRDefault="00485F92" w:rsidP="00485F92">
      <w:pPr>
        <w:ind w:left="360" w:hanging="360"/>
      </w:pPr>
      <w:r>
        <w:t xml:space="preserve">Figure 1. Pool depth, temperature, and water chemistry on dates of mercury sampling in the Agassiz and Headquarters pools. Individual sampling sites are identified in the upper panels for depth and dissolved oxygen (DO); d = deep, s = shallow. </w:t>
      </w:r>
    </w:p>
    <w:p w14:paraId="3886FBD1" w14:textId="77777777" w:rsidR="00485F92" w:rsidRDefault="00485F92" w:rsidP="00485F92">
      <w:pPr>
        <w:ind w:left="360" w:hanging="360"/>
      </w:pPr>
      <w:r>
        <w:br w:type="page"/>
      </w:r>
      <w:r w:rsidR="00923E21">
        <w:rPr>
          <w:noProof/>
        </w:rPr>
        <w:lastRenderedPageBreak/>
        <w:drawing>
          <wp:inline distT="0" distB="0" distL="0" distR="0" wp14:anchorId="1049279C" wp14:editId="61813F5F">
            <wp:extent cx="5943600" cy="6273800"/>
            <wp:effectExtent l="0" t="0" r="0" b="0"/>
            <wp:docPr id="1" name="Picture 1"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273800"/>
                    </a:xfrm>
                    <a:prstGeom prst="rect">
                      <a:avLst/>
                    </a:prstGeom>
                    <a:noFill/>
                    <a:ln>
                      <a:noFill/>
                    </a:ln>
                  </pic:spPr>
                </pic:pic>
              </a:graphicData>
            </a:graphic>
          </wp:inline>
        </w:drawing>
      </w:r>
    </w:p>
    <w:p w14:paraId="2D7764F5" w14:textId="77777777" w:rsidR="00485F92" w:rsidRDefault="00485F92" w:rsidP="00485F92">
      <w:pPr>
        <w:ind w:left="360" w:hanging="360"/>
      </w:pPr>
    </w:p>
    <w:p w14:paraId="5868D149" w14:textId="77777777" w:rsidR="00485F92" w:rsidRDefault="00485F92" w:rsidP="00485F92">
      <w:pPr>
        <w:ind w:left="360" w:hanging="360"/>
      </w:pPr>
      <w:r>
        <w:t>Figure 2. Relationship between concentrations of total mercury (Hg</w:t>
      </w:r>
      <w:r>
        <w:rPr>
          <w:vertAlign w:val="subscript"/>
        </w:rPr>
        <w:t>T</w:t>
      </w:r>
      <w:r>
        <w:t>), methylmercury (MeHg), and %MeHg (percentage of Hg</w:t>
      </w:r>
      <w:r>
        <w:rPr>
          <w:vertAlign w:val="subscript"/>
        </w:rPr>
        <w:t>T</w:t>
      </w:r>
      <w:r>
        <w:t xml:space="preserve"> as MeHg) and organic content of sediments as measured by loss-on-ignition (%LOI). Results from Agassiz and Headquarters pools are combined.</w:t>
      </w:r>
    </w:p>
    <w:p w14:paraId="4831C5E5" w14:textId="77777777" w:rsidR="00485F92" w:rsidRDefault="00485F92" w:rsidP="00485F92">
      <w:pPr>
        <w:ind w:left="360" w:hanging="360"/>
      </w:pPr>
      <w:r>
        <w:br w:type="page"/>
      </w:r>
    </w:p>
    <w:p w14:paraId="3881BD01" w14:textId="77777777" w:rsidR="00485F92" w:rsidRDefault="00485F92" w:rsidP="00485F92">
      <w:pPr>
        <w:ind w:left="360" w:hanging="360"/>
      </w:pPr>
    </w:p>
    <w:p w14:paraId="643CAEE5" w14:textId="77777777" w:rsidR="00485F92" w:rsidRDefault="00923E21" w:rsidP="00485F92">
      <w:pPr>
        <w:ind w:left="360" w:hanging="360"/>
      </w:pPr>
      <w:r>
        <w:rPr>
          <w:noProof/>
        </w:rPr>
        <w:drawing>
          <wp:inline distT="0" distB="0" distL="0" distR="0" wp14:anchorId="36690617" wp14:editId="761B6D61">
            <wp:extent cx="5943600" cy="5765800"/>
            <wp:effectExtent l="0" t="0" r="0" b="0"/>
            <wp:docPr id="3" name="Picture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765800"/>
                    </a:xfrm>
                    <a:prstGeom prst="rect">
                      <a:avLst/>
                    </a:prstGeom>
                    <a:noFill/>
                    <a:ln>
                      <a:noFill/>
                    </a:ln>
                  </pic:spPr>
                </pic:pic>
              </a:graphicData>
            </a:graphic>
          </wp:inline>
        </w:drawing>
      </w:r>
    </w:p>
    <w:p w14:paraId="070E77BD" w14:textId="77777777" w:rsidR="00485F92" w:rsidRDefault="00485F92" w:rsidP="00485F92">
      <w:pPr>
        <w:ind w:left="360" w:hanging="360"/>
      </w:pPr>
    </w:p>
    <w:p w14:paraId="51143A64" w14:textId="77777777" w:rsidR="00485F92" w:rsidRDefault="00485F92" w:rsidP="00485F92">
      <w:pPr>
        <w:ind w:left="360" w:hanging="360"/>
      </w:pPr>
    </w:p>
    <w:p w14:paraId="1010F907" w14:textId="77777777" w:rsidR="00485F92" w:rsidRDefault="00485F92" w:rsidP="00485F92">
      <w:pPr>
        <w:ind w:left="360" w:hanging="360"/>
      </w:pPr>
      <w:r>
        <w:t>Figure 3. Average mercury concentrations and % methylmercury in sediments, amphipods (</w:t>
      </w:r>
      <w:proofErr w:type="spellStart"/>
      <w:r w:rsidRPr="00FB00CA">
        <w:rPr>
          <w:i/>
        </w:rPr>
        <w:t>Gammarus</w:t>
      </w:r>
      <w:proofErr w:type="spellEnd"/>
      <w:r>
        <w:t xml:space="preserve">), and fish (stickleback) in the Headquarters and Agassiz pools in each of the three study years. The Agassiz Pool was drained in 2010 and re-flooded in 2011. Error bars represent ± 1 </w:t>
      </w:r>
      <w:proofErr w:type="spellStart"/>
      <w:r>
        <w:t>s.d.</w:t>
      </w:r>
      <w:proofErr w:type="spellEnd"/>
    </w:p>
    <w:p w14:paraId="762E4E31" w14:textId="77777777" w:rsidR="00485F92" w:rsidRDefault="00923E21" w:rsidP="00485F92">
      <w:pPr>
        <w:ind w:left="360" w:hanging="360"/>
      </w:pPr>
      <w:r>
        <w:rPr>
          <w:noProof/>
        </w:rPr>
        <w:lastRenderedPageBreak/>
        <w:drawing>
          <wp:anchor distT="0" distB="0" distL="114300" distR="114300" simplePos="0" relativeHeight="251657728" behindDoc="0" locked="0" layoutInCell="1" allowOverlap="1" wp14:anchorId="154017F4" wp14:editId="56E3ACE7">
            <wp:simplePos x="0" y="0"/>
            <wp:positionH relativeFrom="column">
              <wp:align>center</wp:align>
            </wp:positionH>
            <wp:positionV relativeFrom="paragraph">
              <wp:posOffset>-335280</wp:posOffset>
            </wp:positionV>
            <wp:extent cx="4142105" cy="7600315"/>
            <wp:effectExtent l="0" t="0" r="0" b="0"/>
            <wp:wrapTopAndBottom/>
            <wp:docPr id="4" name="Picture 2"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2105" cy="760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AA708" w14:textId="77777777" w:rsidR="00485F92" w:rsidRPr="00FB00CA" w:rsidRDefault="00485F92" w:rsidP="00485F92">
      <w:pPr>
        <w:ind w:left="360" w:hanging="360"/>
      </w:pPr>
    </w:p>
    <w:p w14:paraId="2166DA37" w14:textId="77777777" w:rsidR="00485F92" w:rsidRPr="00FB00CA" w:rsidRDefault="00485F92" w:rsidP="00485F92">
      <w:pPr>
        <w:ind w:left="360" w:hanging="360"/>
      </w:pPr>
      <w:r w:rsidRPr="00FB00CA">
        <w:t xml:space="preserve">Figure 4. </w:t>
      </w:r>
      <w:r>
        <w:t>Average mercury concentrations and % methylmercury in sediments, amphipods (</w:t>
      </w:r>
      <w:proofErr w:type="spellStart"/>
      <w:r w:rsidRPr="00FB00CA">
        <w:rPr>
          <w:i/>
        </w:rPr>
        <w:t>Gammarus</w:t>
      </w:r>
      <w:proofErr w:type="spellEnd"/>
      <w:r>
        <w:t xml:space="preserve">), and fish (stickleback) in shallow and deep collection sites in each of the three study years. Error bars represent ± 1 </w:t>
      </w:r>
      <w:proofErr w:type="spellStart"/>
      <w:r>
        <w:t>s.d.</w:t>
      </w:r>
      <w:proofErr w:type="spellEnd"/>
    </w:p>
    <w:sectPr w:rsidR="00485F92" w:rsidRPr="00FB00CA" w:rsidSect="00485F9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25ECD" w14:textId="77777777" w:rsidR="00BA256D" w:rsidRDefault="00BA256D">
      <w:r>
        <w:separator/>
      </w:r>
    </w:p>
  </w:endnote>
  <w:endnote w:type="continuationSeparator" w:id="0">
    <w:p w14:paraId="600C93FF" w14:textId="77777777" w:rsidR="00BA256D" w:rsidRDefault="00BA2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0AE31" w14:textId="77777777" w:rsidR="00BA256D" w:rsidRDefault="00BA256D" w:rsidP="00485F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7B784DD" w14:textId="77777777" w:rsidR="00BA256D" w:rsidRDefault="00BA25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D31DE" w14:textId="77777777" w:rsidR="00BA256D" w:rsidRDefault="00BA256D" w:rsidP="00485F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66EFAC5" w14:textId="77777777" w:rsidR="00BA256D" w:rsidRDefault="00BA25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8FCA9" w14:textId="77777777" w:rsidR="00BA256D" w:rsidRDefault="00BA256D" w:rsidP="00485F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171B02B" w14:textId="77777777" w:rsidR="00BA256D" w:rsidRDefault="00BA256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3C36" w14:textId="77777777" w:rsidR="00BA256D" w:rsidRDefault="00BA256D" w:rsidP="00485F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2169B">
      <w:rPr>
        <w:rStyle w:val="PageNumber"/>
        <w:noProof/>
      </w:rPr>
      <w:t>18</w:t>
    </w:r>
    <w:r>
      <w:rPr>
        <w:rStyle w:val="PageNumber"/>
      </w:rPr>
      <w:fldChar w:fldCharType="end"/>
    </w:r>
  </w:p>
  <w:p w14:paraId="337ED13D" w14:textId="77777777" w:rsidR="00BA256D" w:rsidRDefault="00BA25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3BD50" w14:textId="77777777" w:rsidR="00BA256D" w:rsidRDefault="00BA256D">
      <w:r>
        <w:separator/>
      </w:r>
    </w:p>
  </w:footnote>
  <w:footnote w:type="continuationSeparator" w:id="0">
    <w:p w14:paraId="2B8BF3F5" w14:textId="77777777" w:rsidR="00BA256D" w:rsidRDefault="00BA25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Quaternary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29tf2ez5ssvd0mes5tux0wdox9st5tdt02zx&quot;&gt;DRE-Reference&lt;record-ids&gt;&lt;item&gt;102&lt;/item&gt;&lt;item&gt;2628&lt;/item&gt;&lt;item&gt;2678&lt;/item&gt;&lt;item&gt;2836&lt;/item&gt;&lt;item&gt;2842&lt;/item&gt;&lt;item&gt;3209&lt;/item&gt;&lt;item&gt;3637&lt;/item&gt;&lt;item&gt;3640&lt;/item&gt;&lt;item&gt;3767&lt;/item&gt;&lt;item&gt;3793&lt;/item&gt;&lt;item&gt;3798&lt;/item&gt;&lt;item&gt;4051&lt;/item&gt;&lt;item&gt;4131&lt;/item&gt;&lt;item&gt;4132&lt;/item&gt;&lt;item&gt;4133&lt;/item&gt;&lt;item&gt;4134&lt;/item&gt;&lt;item&gt;4135&lt;/item&gt;&lt;item&gt;4136&lt;/item&gt;&lt;item&gt;4137&lt;/item&gt;&lt;item&gt;4138&lt;/item&gt;&lt;item&gt;4139&lt;/item&gt;&lt;item&gt;4140&lt;/item&gt;&lt;item&gt;4582&lt;/item&gt;&lt;item&gt;4583&lt;/item&gt;&lt;/record-ids&gt;&lt;/item&gt;&lt;/Libraries&gt;"/>
  </w:docVars>
  <w:rsids>
    <w:rsidRoot w:val="00CF26B6"/>
    <w:rsid w:val="0000363D"/>
    <w:rsid w:val="000151BE"/>
    <w:rsid w:val="00034A04"/>
    <w:rsid w:val="00042FAB"/>
    <w:rsid w:val="0005377E"/>
    <w:rsid w:val="0008623A"/>
    <w:rsid w:val="000F22A5"/>
    <w:rsid w:val="00140A8E"/>
    <w:rsid w:val="00147FEC"/>
    <w:rsid w:val="00153F02"/>
    <w:rsid w:val="00162777"/>
    <w:rsid w:val="001A21FE"/>
    <w:rsid w:val="001C12F8"/>
    <w:rsid w:val="001D24DF"/>
    <w:rsid w:val="001D3138"/>
    <w:rsid w:val="001F5F61"/>
    <w:rsid w:val="002160C6"/>
    <w:rsid w:val="0024250F"/>
    <w:rsid w:val="002C6A07"/>
    <w:rsid w:val="002F7772"/>
    <w:rsid w:val="0032385B"/>
    <w:rsid w:val="003274BD"/>
    <w:rsid w:val="003603D4"/>
    <w:rsid w:val="00381BE1"/>
    <w:rsid w:val="00383513"/>
    <w:rsid w:val="003C26A1"/>
    <w:rsid w:val="003E6245"/>
    <w:rsid w:val="00417B89"/>
    <w:rsid w:val="00417C87"/>
    <w:rsid w:val="00426D9C"/>
    <w:rsid w:val="0048216A"/>
    <w:rsid w:val="00485F92"/>
    <w:rsid w:val="004C1078"/>
    <w:rsid w:val="004C2432"/>
    <w:rsid w:val="004D3433"/>
    <w:rsid w:val="005122B4"/>
    <w:rsid w:val="005607AA"/>
    <w:rsid w:val="00563964"/>
    <w:rsid w:val="00580408"/>
    <w:rsid w:val="00581775"/>
    <w:rsid w:val="00587E41"/>
    <w:rsid w:val="005A47F9"/>
    <w:rsid w:val="005C48D2"/>
    <w:rsid w:val="00603570"/>
    <w:rsid w:val="0061292C"/>
    <w:rsid w:val="006345B0"/>
    <w:rsid w:val="006416A6"/>
    <w:rsid w:val="006472FD"/>
    <w:rsid w:val="006861A8"/>
    <w:rsid w:val="006B07FB"/>
    <w:rsid w:val="006B6FE7"/>
    <w:rsid w:val="006E0F06"/>
    <w:rsid w:val="00706154"/>
    <w:rsid w:val="00717365"/>
    <w:rsid w:val="00720728"/>
    <w:rsid w:val="007362E0"/>
    <w:rsid w:val="00742933"/>
    <w:rsid w:val="00765045"/>
    <w:rsid w:val="00781CC4"/>
    <w:rsid w:val="007D21E4"/>
    <w:rsid w:val="007D50E2"/>
    <w:rsid w:val="007E429B"/>
    <w:rsid w:val="00823E2B"/>
    <w:rsid w:val="00857E6E"/>
    <w:rsid w:val="00865F09"/>
    <w:rsid w:val="008A292B"/>
    <w:rsid w:val="008B0E80"/>
    <w:rsid w:val="008B3423"/>
    <w:rsid w:val="008D4904"/>
    <w:rsid w:val="008D7025"/>
    <w:rsid w:val="0090341F"/>
    <w:rsid w:val="009169A8"/>
    <w:rsid w:val="0092169B"/>
    <w:rsid w:val="0092347A"/>
    <w:rsid w:val="00923E21"/>
    <w:rsid w:val="00960222"/>
    <w:rsid w:val="00970AD1"/>
    <w:rsid w:val="00997B83"/>
    <w:rsid w:val="009A5E59"/>
    <w:rsid w:val="009B4831"/>
    <w:rsid w:val="009F3948"/>
    <w:rsid w:val="00A05349"/>
    <w:rsid w:val="00A21F87"/>
    <w:rsid w:val="00A34ADF"/>
    <w:rsid w:val="00A71B6D"/>
    <w:rsid w:val="00AC1C6C"/>
    <w:rsid w:val="00AD183B"/>
    <w:rsid w:val="00AE6A3F"/>
    <w:rsid w:val="00AF1A87"/>
    <w:rsid w:val="00AF5EF9"/>
    <w:rsid w:val="00B018BB"/>
    <w:rsid w:val="00B20322"/>
    <w:rsid w:val="00B341F8"/>
    <w:rsid w:val="00B47F75"/>
    <w:rsid w:val="00B90F64"/>
    <w:rsid w:val="00B95F22"/>
    <w:rsid w:val="00B97516"/>
    <w:rsid w:val="00BA0614"/>
    <w:rsid w:val="00BA256D"/>
    <w:rsid w:val="00BA3024"/>
    <w:rsid w:val="00BA49AF"/>
    <w:rsid w:val="00BB4D2D"/>
    <w:rsid w:val="00C30F07"/>
    <w:rsid w:val="00C33719"/>
    <w:rsid w:val="00C62171"/>
    <w:rsid w:val="00C8155E"/>
    <w:rsid w:val="00CA1B33"/>
    <w:rsid w:val="00CA268F"/>
    <w:rsid w:val="00CB12EF"/>
    <w:rsid w:val="00CC40B9"/>
    <w:rsid w:val="00CD69CC"/>
    <w:rsid w:val="00CF26B6"/>
    <w:rsid w:val="00CF6E04"/>
    <w:rsid w:val="00D044C8"/>
    <w:rsid w:val="00D3133F"/>
    <w:rsid w:val="00D80B1E"/>
    <w:rsid w:val="00D85431"/>
    <w:rsid w:val="00DA32BE"/>
    <w:rsid w:val="00DC431F"/>
    <w:rsid w:val="00DE672D"/>
    <w:rsid w:val="00E709DF"/>
    <w:rsid w:val="00EB736C"/>
    <w:rsid w:val="00EC2715"/>
    <w:rsid w:val="00ED13F8"/>
    <w:rsid w:val="00F000FA"/>
    <w:rsid w:val="00F243D6"/>
    <w:rsid w:val="00F264D3"/>
    <w:rsid w:val="00F40039"/>
    <w:rsid w:val="00F421A9"/>
    <w:rsid w:val="00F911BF"/>
    <w:rsid w:val="00FB2784"/>
    <w:rsid w:val="00FC05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35177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CF26B6"/>
  </w:style>
  <w:style w:type="paragraph" w:styleId="BodyText">
    <w:name w:val="Body Text"/>
    <w:basedOn w:val="Normal"/>
    <w:rsid w:val="00744BE8"/>
    <w:pPr>
      <w:jc w:val="center"/>
    </w:pPr>
    <w:rPr>
      <w:rFonts w:ascii="Times" w:eastAsia="MS Mincho" w:hAnsi="Times"/>
      <w:b/>
      <w:szCs w:val="24"/>
      <w:lang w:bidi="en-US"/>
    </w:rPr>
  </w:style>
  <w:style w:type="paragraph" w:styleId="Footer">
    <w:name w:val="footer"/>
    <w:basedOn w:val="Normal"/>
    <w:semiHidden/>
    <w:rsid w:val="00744BE8"/>
    <w:pPr>
      <w:tabs>
        <w:tab w:val="center" w:pos="4320"/>
        <w:tab w:val="right" w:pos="8640"/>
      </w:tabs>
    </w:pPr>
  </w:style>
  <w:style w:type="character" w:styleId="PageNumber">
    <w:name w:val="page number"/>
    <w:basedOn w:val="DefaultParagraphFont"/>
    <w:rsid w:val="00744BE8"/>
  </w:style>
  <w:style w:type="paragraph" w:styleId="Header">
    <w:name w:val="header"/>
    <w:basedOn w:val="Normal"/>
    <w:rsid w:val="00744BE8"/>
    <w:pPr>
      <w:tabs>
        <w:tab w:val="center" w:pos="4320"/>
        <w:tab w:val="right" w:pos="8640"/>
      </w:tabs>
    </w:pPr>
  </w:style>
  <w:style w:type="paragraph" w:styleId="BalloonText">
    <w:name w:val="Balloon Text"/>
    <w:basedOn w:val="Normal"/>
    <w:link w:val="BalloonTextChar"/>
    <w:uiPriority w:val="99"/>
    <w:semiHidden/>
    <w:unhideWhenUsed/>
    <w:rsid w:val="00563964"/>
    <w:rPr>
      <w:rFonts w:ascii="Lucida Grande" w:hAnsi="Lucida Grande" w:cs="Lucida Grande"/>
      <w:sz w:val="18"/>
      <w:szCs w:val="18"/>
    </w:rPr>
  </w:style>
  <w:style w:type="character" w:customStyle="1" w:styleId="BalloonTextChar">
    <w:name w:val="Balloon Text Char"/>
    <w:link w:val="BalloonText"/>
    <w:uiPriority w:val="99"/>
    <w:semiHidden/>
    <w:rsid w:val="00563964"/>
    <w:rPr>
      <w:rFonts w:ascii="Lucida Grande" w:hAnsi="Lucida Grande" w:cs="Lucida Grande"/>
      <w:sz w:val="18"/>
      <w:szCs w:val="18"/>
    </w:rPr>
  </w:style>
  <w:style w:type="character" w:styleId="CommentReference">
    <w:name w:val="annotation reference"/>
    <w:uiPriority w:val="99"/>
    <w:semiHidden/>
    <w:unhideWhenUsed/>
    <w:rsid w:val="00F421A9"/>
    <w:rPr>
      <w:sz w:val="18"/>
      <w:szCs w:val="18"/>
    </w:rPr>
  </w:style>
  <w:style w:type="paragraph" w:styleId="CommentText">
    <w:name w:val="annotation text"/>
    <w:basedOn w:val="Normal"/>
    <w:link w:val="CommentTextChar"/>
    <w:uiPriority w:val="99"/>
    <w:semiHidden/>
    <w:unhideWhenUsed/>
    <w:rsid w:val="00F421A9"/>
    <w:rPr>
      <w:szCs w:val="24"/>
    </w:rPr>
  </w:style>
  <w:style w:type="character" w:customStyle="1" w:styleId="CommentTextChar">
    <w:name w:val="Comment Text Char"/>
    <w:link w:val="CommentText"/>
    <w:uiPriority w:val="99"/>
    <w:semiHidden/>
    <w:rsid w:val="00F421A9"/>
    <w:rPr>
      <w:sz w:val="24"/>
      <w:szCs w:val="24"/>
    </w:rPr>
  </w:style>
  <w:style w:type="paragraph" w:styleId="CommentSubject">
    <w:name w:val="annotation subject"/>
    <w:basedOn w:val="CommentText"/>
    <w:next w:val="CommentText"/>
    <w:link w:val="CommentSubjectChar"/>
    <w:uiPriority w:val="99"/>
    <w:semiHidden/>
    <w:unhideWhenUsed/>
    <w:rsid w:val="00F421A9"/>
    <w:rPr>
      <w:b/>
      <w:bCs/>
      <w:sz w:val="20"/>
      <w:szCs w:val="20"/>
    </w:rPr>
  </w:style>
  <w:style w:type="character" w:customStyle="1" w:styleId="CommentSubjectChar">
    <w:name w:val="Comment Subject Char"/>
    <w:link w:val="CommentSubject"/>
    <w:uiPriority w:val="99"/>
    <w:semiHidden/>
    <w:rsid w:val="00F421A9"/>
    <w:rPr>
      <w:b/>
      <w:bCs/>
      <w:sz w:val="24"/>
      <w:szCs w:val="24"/>
    </w:rPr>
  </w:style>
  <w:style w:type="paragraph" w:customStyle="1" w:styleId="EndNoteBibliographyTitle">
    <w:name w:val="EndNote Bibliography Title"/>
    <w:basedOn w:val="Normal"/>
    <w:rsid w:val="002160C6"/>
    <w:pPr>
      <w:jc w:val="center"/>
    </w:pPr>
  </w:style>
  <w:style w:type="paragraph" w:customStyle="1" w:styleId="EndNoteBibliography">
    <w:name w:val="EndNote Bibliography"/>
    <w:basedOn w:val="Normal"/>
    <w:rsid w:val="002160C6"/>
  </w:style>
  <w:style w:type="paragraph" w:styleId="Revision">
    <w:name w:val="Revision"/>
    <w:hidden/>
    <w:uiPriority w:val="99"/>
    <w:semiHidden/>
    <w:rsid w:val="00C30F0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CF26B6"/>
  </w:style>
  <w:style w:type="paragraph" w:styleId="BodyText">
    <w:name w:val="Body Text"/>
    <w:basedOn w:val="Normal"/>
    <w:rsid w:val="00744BE8"/>
    <w:pPr>
      <w:jc w:val="center"/>
    </w:pPr>
    <w:rPr>
      <w:rFonts w:ascii="Times" w:eastAsia="MS Mincho" w:hAnsi="Times"/>
      <w:b/>
      <w:szCs w:val="24"/>
      <w:lang w:bidi="en-US"/>
    </w:rPr>
  </w:style>
  <w:style w:type="paragraph" w:styleId="Footer">
    <w:name w:val="footer"/>
    <w:basedOn w:val="Normal"/>
    <w:semiHidden/>
    <w:rsid w:val="00744BE8"/>
    <w:pPr>
      <w:tabs>
        <w:tab w:val="center" w:pos="4320"/>
        <w:tab w:val="right" w:pos="8640"/>
      </w:tabs>
    </w:pPr>
  </w:style>
  <w:style w:type="character" w:styleId="PageNumber">
    <w:name w:val="page number"/>
    <w:basedOn w:val="DefaultParagraphFont"/>
    <w:rsid w:val="00744BE8"/>
  </w:style>
  <w:style w:type="paragraph" w:styleId="Header">
    <w:name w:val="header"/>
    <w:basedOn w:val="Normal"/>
    <w:rsid w:val="00744BE8"/>
    <w:pPr>
      <w:tabs>
        <w:tab w:val="center" w:pos="4320"/>
        <w:tab w:val="right" w:pos="8640"/>
      </w:tabs>
    </w:pPr>
  </w:style>
  <w:style w:type="paragraph" w:styleId="BalloonText">
    <w:name w:val="Balloon Text"/>
    <w:basedOn w:val="Normal"/>
    <w:link w:val="BalloonTextChar"/>
    <w:uiPriority w:val="99"/>
    <w:semiHidden/>
    <w:unhideWhenUsed/>
    <w:rsid w:val="00563964"/>
    <w:rPr>
      <w:rFonts w:ascii="Lucida Grande" w:hAnsi="Lucida Grande" w:cs="Lucida Grande"/>
      <w:sz w:val="18"/>
      <w:szCs w:val="18"/>
    </w:rPr>
  </w:style>
  <w:style w:type="character" w:customStyle="1" w:styleId="BalloonTextChar">
    <w:name w:val="Balloon Text Char"/>
    <w:link w:val="BalloonText"/>
    <w:uiPriority w:val="99"/>
    <w:semiHidden/>
    <w:rsid w:val="00563964"/>
    <w:rPr>
      <w:rFonts w:ascii="Lucida Grande" w:hAnsi="Lucida Grande" w:cs="Lucida Grande"/>
      <w:sz w:val="18"/>
      <w:szCs w:val="18"/>
    </w:rPr>
  </w:style>
  <w:style w:type="character" w:styleId="CommentReference">
    <w:name w:val="annotation reference"/>
    <w:uiPriority w:val="99"/>
    <w:semiHidden/>
    <w:unhideWhenUsed/>
    <w:rsid w:val="00F421A9"/>
    <w:rPr>
      <w:sz w:val="18"/>
      <w:szCs w:val="18"/>
    </w:rPr>
  </w:style>
  <w:style w:type="paragraph" w:styleId="CommentText">
    <w:name w:val="annotation text"/>
    <w:basedOn w:val="Normal"/>
    <w:link w:val="CommentTextChar"/>
    <w:uiPriority w:val="99"/>
    <w:semiHidden/>
    <w:unhideWhenUsed/>
    <w:rsid w:val="00F421A9"/>
    <w:rPr>
      <w:szCs w:val="24"/>
    </w:rPr>
  </w:style>
  <w:style w:type="character" w:customStyle="1" w:styleId="CommentTextChar">
    <w:name w:val="Comment Text Char"/>
    <w:link w:val="CommentText"/>
    <w:uiPriority w:val="99"/>
    <w:semiHidden/>
    <w:rsid w:val="00F421A9"/>
    <w:rPr>
      <w:sz w:val="24"/>
      <w:szCs w:val="24"/>
    </w:rPr>
  </w:style>
  <w:style w:type="paragraph" w:styleId="CommentSubject">
    <w:name w:val="annotation subject"/>
    <w:basedOn w:val="CommentText"/>
    <w:next w:val="CommentText"/>
    <w:link w:val="CommentSubjectChar"/>
    <w:uiPriority w:val="99"/>
    <w:semiHidden/>
    <w:unhideWhenUsed/>
    <w:rsid w:val="00F421A9"/>
    <w:rPr>
      <w:b/>
      <w:bCs/>
      <w:sz w:val="20"/>
      <w:szCs w:val="20"/>
    </w:rPr>
  </w:style>
  <w:style w:type="character" w:customStyle="1" w:styleId="CommentSubjectChar">
    <w:name w:val="Comment Subject Char"/>
    <w:link w:val="CommentSubject"/>
    <w:uiPriority w:val="99"/>
    <w:semiHidden/>
    <w:rsid w:val="00F421A9"/>
    <w:rPr>
      <w:b/>
      <w:bCs/>
      <w:sz w:val="24"/>
      <w:szCs w:val="24"/>
    </w:rPr>
  </w:style>
  <w:style w:type="paragraph" w:customStyle="1" w:styleId="EndNoteBibliographyTitle">
    <w:name w:val="EndNote Bibliography Title"/>
    <w:basedOn w:val="Normal"/>
    <w:rsid w:val="002160C6"/>
    <w:pPr>
      <w:jc w:val="center"/>
    </w:pPr>
  </w:style>
  <w:style w:type="paragraph" w:customStyle="1" w:styleId="EndNoteBibliography">
    <w:name w:val="EndNote Bibliography"/>
    <w:basedOn w:val="Normal"/>
    <w:rsid w:val="002160C6"/>
  </w:style>
  <w:style w:type="paragraph" w:styleId="Revision">
    <w:name w:val="Revision"/>
    <w:hidden/>
    <w:uiPriority w:val="99"/>
    <w:semiHidden/>
    <w:rsid w:val="00C30F0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10625</Words>
  <Characters>60569</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Site Conditions</vt:lpstr>
    </vt:vector>
  </TitlesOfParts>
  <Company>St. Croix Watershed Research Station</Company>
  <LinksUpToDate>false</LinksUpToDate>
  <CharactersWithSpaces>71052</CharactersWithSpaces>
  <SharedDoc>false</SharedDoc>
  <HLinks>
    <vt:vector size="24" baseType="variant">
      <vt:variant>
        <vt:i4>7274613</vt:i4>
      </vt:variant>
      <vt:variant>
        <vt:i4>63878</vt:i4>
      </vt:variant>
      <vt:variant>
        <vt:i4>1025</vt:i4>
      </vt:variant>
      <vt:variant>
        <vt:i4>1</vt:i4>
      </vt:variant>
      <vt:variant>
        <vt:lpwstr>Trends</vt:lpwstr>
      </vt:variant>
      <vt:variant>
        <vt:lpwstr/>
      </vt:variant>
      <vt:variant>
        <vt:i4>4456499</vt:i4>
      </vt:variant>
      <vt:variant>
        <vt:i4>64127</vt:i4>
      </vt:variant>
      <vt:variant>
        <vt:i4>1026</vt:i4>
      </vt:variant>
      <vt:variant>
        <vt:i4>1</vt:i4>
      </vt:variant>
      <vt:variant>
        <vt:lpwstr>Fig-2</vt:lpwstr>
      </vt:variant>
      <vt:variant>
        <vt:lpwstr/>
      </vt:variant>
      <vt:variant>
        <vt:i4>4456498</vt:i4>
      </vt:variant>
      <vt:variant>
        <vt:i4>64394</vt:i4>
      </vt:variant>
      <vt:variant>
        <vt:i4>1027</vt:i4>
      </vt:variant>
      <vt:variant>
        <vt:i4>1</vt:i4>
      </vt:variant>
      <vt:variant>
        <vt:lpwstr>Fig-3</vt:lpwstr>
      </vt:variant>
      <vt:variant>
        <vt:lpwstr/>
      </vt:variant>
      <vt:variant>
        <vt:i4>4456501</vt:i4>
      </vt:variant>
      <vt:variant>
        <vt:i4>-1</vt:i4>
      </vt:variant>
      <vt:variant>
        <vt:i4>1026</vt:i4>
      </vt:variant>
      <vt:variant>
        <vt:i4>1</vt:i4>
      </vt:variant>
      <vt:variant>
        <vt:lpwstr>Fig-4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Conditions</dc:title>
  <dc:creator>D.R. Engstrom</dc:creator>
  <cp:lastModifiedBy>Knutsen, Gregg</cp:lastModifiedBy>
  <cp:revision>2</cp:revision>
  <cp:lastPrinted>2013-09-09T20:02:00Z</cp:lastPrinted>
  <dcterms:created xsi:type="dcterms:W3CDTF">2014-04-08T18:26:00Z</dcterms:created>
  <dcterms:modified xsi:type="dcterms:W3CDTF">2014-04-08T18:26:00Z</dcterms:modified>
</cp:coreProperties>
</file>